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560" w:lineRule="exact"/>
        <w:jc w:val="center"/>
        <w:rPr>
          <w:rFonts w:ascii="黑体" w:hAnsi="黑体" w:eastAsia="黑体"/>
          <w:color w:val="000000" w:themeColor="text1"/>
          <w:sz w:val="32"/>
          <w:szCs w:val="32"/>
          <w:shd w:val="clear" w:color="auto" w:fill="FFFFFF" w:themeFill="background1"/>
          <w14:textFill>
            <w14:solidFill>
              <w14:schemeClr w14:val="tx1"/>
            </w14:solidFill>
          </w14:textFill>
        </w:rPr>
      </w:pPr>
      <w:bookmarkStart w:id="0" w:name="_GoBack"/>
      <w:bookmarkEnd w:id="0"/>
      <w:r>
        <w:rPr>
          <w:rFonts w:hint="eastAsia" w:ascii="黑体" w:hAnsi="黑体" w:eastAsia="黑体"/>
          <w:color w:val="000000" w:themeColor="text1"/>
          <w:sz w:val="32"/>
          <w:szCs w:val="32"/>
          <w:shd w:val="clear" w:color="auto" w:fill="FFFFFF" w:themeFill="background1"/>
          <w14:textFill>
            <w14:solidFill>
              <w14:schemeClr w14:val="tx1"/>
            </w14:solidFill>
          </w14:textFill>
        </w:rPr>
        <w:t>省出资企业合规管理指引（试行）</w:t>
      </w:r>
    </w:p>
    <w:p>
      <w:pPr>
        <w:rPr>
          <w:rFonts w:ascii="仿宋" w:hAnsi="仿宋" w:eastAsia="仿宋"/>
          <w:color w:val="000000" w:themeColor="text1"/>
          <w:sz w:val="32"/>
          <w:szCs w:val="32"/>
          <w:shd w:val="clear" w:color="auto" w:fill="FFFFFF" w:themeFill="background1"/>
          <w14:textFill>
            <w14:solidFill>
              <w14:schemeClr w14:val="tx1"/>
            </w14:solidFill>
          </w14:textFill>
        </w:rPr>
      </w:pPr>
    </w:p>
    <w:p>
      <w:pPr>
        <w:pStyle w:val="2"/>
        <w:widowControl/>
        <w:wordWrap w:val="0"/>
        <w:spacing w:before="10" w:after="10" w:line="360" w:lineRule="auto"/>
        <w:jc w:val="center"/>
        <w:rPr>
          <w:rFonts w:ascii="仿宋" w:hAnsi="仿宋" w:eastAsia="仿宋" w:cs="仿宋"/>
          <w:color w:val="000000" w:themeColor="text1"/>
          <w:sz w:val="32"/>
          <w:szCs w:val="32"/>
          <w14:textFill>
            <w14:solidFill>
              <w14:schemeClr w14:val="tx1"/>
            </w14:solidFill>
          </w14:textFill>
        </w:rPr>
      </w:pPr>
      <w:r>
        <w:rPr>
          <w:rStyle w:val="5"/>
          <w:rFonts w:hint="eastAsia" w:ascii="仿宋" w:hAnsi="仿宋" w:eastAsia="仿宋" w:cs="仿宋"/>
          <w:color w:val="000000" w:themeColor="text1"/>
          <w:sz w:val="32"/>
          <w:szCs w:val="32"/>
          <w:shd w:val="clear" w:color="auto" w:fill="FFFFFF"/>
          <w14:textFill>
            <w14:solidFill>
              <w14:schemeClr w14:val="tx1"/>
            </w14:solidFill>
          </w14:textFill>
        </w:rPr>
        <w:t>第一章</w:t>
      </w:r>
      <w:r>
        <w:rPr>
          <w:rStyle w:val="5"/>
          <w:rFonts w:ascii="仿宋" w:hAnsi="仿宋" w:eastAsia="仿宋" w:cs="仿宋"/>
          <w:color w:val="000000" w:themeColor="text1"/>
          <w:sz w:val="32"/>
          <w:szCs w:val="32"/>
          <w:shd w:val="clear" w:color="auto" w:fill="FFFFFF"/>
          <w14:textFill>
            <w14:solidFill>
              <w14:schemeClr w14:val="tx1"/>
            </w14:solidFill>
          </w14:textFill>
        </w:rPr>
        <w:t xml:space="preserve"> </w:t>
      </w:r>
      <w:r>
        <w:rPr>
          <w:rStyle w:val="5"/>
          <w:rFonts w:ascii="Calibri" w:hAnsi="Calibri" w:eastAsia="仿宋" w:cs="Calibri"/>
          <w:color w:val="000000" w:themeColor="text1"/>
          <w:sz w:val="32"/>
          <w:szCs w:val="32"/>
          <w:shd w:val="clear" w:color="auto" w:fill="FFFFFF"/>
          <w14:textFill>
            <w14:solidFill>
              <w14:schemeClr w14:val="tx1"/>
            </w14:solidFill>
          </w14:textFill>
        </w:rPr>
        <w:t>  </w:t>
      </w:r>
      <w:r>
        <w:rPr>
          <w:rStyle w:val="5"/>
          <w:rFonts w:hint="eastAsia" w:ascii="仿宋" w:hAnsi="仿宋" w:eastAsia="仿宋" w:cs="仿宋"/>
          <w:color w:val="000000" w:themeColor="text1"/>
          <w:sz w:val="32"/>
          <w:szCs w:val="32"/>
          <w:shd w:val="clear" w:color="auto" w:fill="FFFFFF"/>
          <w14:textFill>
            <w14:solidFill>
              <w14:schemeClr w14:val="tx1"/>
            </w14:solidFill>
          </w14:textFill>
        </w:rPr>
        <w:t>总</w:t>
      </w:r>
      <w:r>
        <w:rPr>
          <w:rStyle w:val="5"/>
          <w:rFonts w:ascii="仿宋" w:hAnsi="仿宋" w:eastAsia="仿宋" w:cs="仿宋"/>
          <w:color w:val="000000" w:themeColor="text1"/>
          <w:sz w:val="32"/>
          <w:szCs w:val="32"/>
          <w:shd w:val="clear" w:color="auto" w:fill="FFFFFF"/>
          <w14:textFill>
            <w14:solidFill>
              <w14:schemeClr w14:val="tx1"/>
            </w14:solidFill>
          </w14:textFill>
        </w:rPr>
        <w:t xml:space="preserve"> </w:t>
      </w:r>
      <w:r>
        <w:rPr>
          <w:rStyle w:val="5"/>
          <w:rFonts w:ascii="Calibri" w:hAnsi="Calibri" w:eastAsia="仿宋" w:cs="Calibri"/>
          <w:color w:val="000000" w:themeColor="text1"/>
          <w:sz w:val="32"/>
          <w:szCs w:val="32"/>
          <w:shd w:val="clear" w:color="auto" w:fill="FFFFFF"/>
          <w14:textFill>
            <w14:solidFill>
              <w14:schemeClr w14:val="tx1"/>
            </w14:solidFill>
          </w14:textFill>
        </w:rPr>
        <w:t> </w:t>
      </w:r>
      <w:r>
        <w:rPr>
          <w:rStyle w:val="5"/>
          <w:rFonts w:hint="eastAsia" w:ascii="仿宋" w:hAnsi="仿宋" w:eastAsia="仿宋" w:cs="仿宋"/>
          <w:color w:val="000000" w:themeColor="text1"/>
          <w:sz w:val="32"/>
          <w:szCs w:val="32"/>
          <w:shd w:val="clear" w:color="auto" w:fill="FFFFFF"/>
          <w14:textFill>
            <w14:solidFill>
              <w14:schemeClr w14:val="tx1"/>
            </w14:solidFill>
          </w14:textFill>
        </w:rPr>
        <w:t>则</w:t>
      </w:r>
    </w:p>
    <w:p>
      <w:pPr>
        <w:pStyle w:val="2"/>
        <w:widowControl/>
        <w:wordWrap w:val="0"/>
        <w:spacing w:before="10" w:after="10" w:line="360" w:lineRule="auto"/>
        <w:rPr>
          <w:rFonts w:ascii="仿宋" w:hAnsi="仿宋" w:eastAsia="仿宋" w:cs="仿宋"/>
          <w:color w:val="000000" w:themeColor="text1"/>
          <w:sz w:val="32"/>
          <w:szCs w:val="32"/>
          <w14:textFill>
            <w14:solidFill>
              <w14:schemeClr w14:val="tx1"/>
            </w14:solidFill>
          </w14:textFill>
        </w:rPr>
      </w:pPr>
    </w:p>
    <w:p>
      <w:pPr>
        <w:pStyle w:val="2"/>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w:t>
      </w:r>
      <w:r>
        <w:rPr>
          <w:rStyle w:val="5"/>
          <w:rFonts w:hint="eastAsia" w:ascii="仿宋" w:hAnsi="仿宋" w:eastAsia="仿宋" w:cs="仿宋"/>
          <w:color w:val="000000" w:themeColor="text1"/>
          <w:sz w:val="32"/>
          <w:szCs w:val="32"/>
          <w:shd w:val="clear" w:color="auto" w:fill="FFFFFF"/>
          <w14:textFill>
            <w14:solidFill>
              <w14:schemeClr w14:val="tx1"/>
            </w14:solidFill>
          </w14:textFill>
        </w:rPr>
        <w:t>第一条</w:t>
      </w:r>
      <w:r>
        <w:rPr>
          <w:rFonts w:ascii="Calibri" w:hAnsi="Calibri" w:eastAsia="仿宋" w:cs="Calibri"/>
          <w:color w:val="000000" w:themeColor="text1"/>
          <w:sz w:val="32"/>
          <w:szCs w:val="32"/>
          <w:shd w:val="clear" w:color="auto" w:fill="FFFFFF"/>
          <w14:textFill>
            <w14:solidFill>
              <w14:schemeClr w14:val="tx1"/>
            </w14:solidFill>
          </w14:textFill>
        </w:rPr>
        <w:t> </w:t>
      </w:r>
      <w:r>
        <w:rPr>
          <w:rFonts w:hint="eastAsia" w:ascii="仿宋" w:hAnsi="仿宋" w:eastAsia="仿宋" w:cs="仿宋"/>
          <w:color w:val="000000" w:themeColor="text1"/>
          <w:sz w:val="32"/>
          <w:szCs w:val="32"/>
          <w:shd w:val="clear" w:color="auto" w:fill="FFFFFF"/>
          <w14:textFill>
            <w14:solidFill>
              <w14:schemeClr w14:val="tx1"/>
            </w14:solidFill>
          </w14:textFill>
        </w:rPr>
        <w:t>为推动省国资委出资企业全面加强合规管理，有效防控合规风险，加快提升依法合规经营管理水平，着力打造法治国企，保障企业持续稳定健康发展，根据《中华人民共和国公司法》《中华人民共和国企业国有资产法》等有关法律法规规定，并参照《中央企业合规管理指引（试行）》，制定本指引。</w:t>
      </w:r>
    </w:p>
    <w:p>
      <w:pPr>
        <w:pStyle w:val="2"/>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w:t>
      </w:r>
      <w:r>
        <w:rPr>
          <w:rStyle w:val="5"/>
          <w:rFonts w:hint="eastAsia" w:ascii="仿宋" w:hAnsi="仿宋" w:eastAsia="仿宋" w:cs="仿宋"/>
          <w:color w:val="000000" w:themeColor="text1"/>
          <w:sz w:val="32"/>
          <w:szCs w:val="32"/>
          <w:shd w:val="clear" w:color="auto" w:fill="FFFFFF"/>
          <w14:textFill>
            <w14:solidFill>
              <w14:schemeClr w14:val="tx1"/>
            </w14:solidFill>
          </w14:textFill>
        </w:rPr>
        <w:t>第二条</w:t>
      </w:r>
      <w:r>
        <w:rPr>
          <w:rFonts w:ascii="Calibri" w:hAnsi="Calibri" w:eastAsia="仿宋" w:cs="Calibri"/>
          <w:color w:val="000000" w:themeColor="text1"/>
          <w:sz w:val="32"/>
          <w:szCs w:val="32"/>
          <w:shd w:val="clear" w:color="auto" w:fill="FFFFFF"/>
          <w14:textFill>
            <w14:solidFill>
              <w14:schemeClr w14:val="tx1"/>
            </w14:solidFill>
          </w14:textFill>
        </w:rPr>
        <w:t> </w:t>
      </w:r>
      <w:r>
        <w:rPr>
          <w:rFonts w:hint="eastAsia" w:ascii="仿宋" w:hAnsi="仿宋" w:eastAsia="仿宋" w:cs="仿宋"/>
          <w:color w:val="000000" w:themeColor="text1"/>
          <w:sz w:val="32"/>
          <w:szCs w:val="32"/>
          <w:shd w:val="clear" w:color="auto" w:fill="FFFFFF"/>
          <w14:textFill>
            <w14:solidFill>
              <w14:schemeClr w14:val="tx1"/>
            </w14:solidFill>
          </w14:textFill>
        </w:rPr>
        <w:t>本指引所称湖北省人民政府国有资产监督管理委员会出资企业，是指省国资委履行出资人职责的国家出资企业（以下简称“省出资企业”）。</w:t>
      </w:r>
    </w:p>
    <w:p>
      <w:pPr>
        <w:pStyle w:val="2"/>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本指引所称合规，是指省出资企业及其员工的经营管理行为符合法律法规、监管规定、行业准则和企业章程、规章制度以及国际条约、规则等要求。</w:t>
      </w:r>
    </w:p>
    <w:p>
      <w:pPr>
        <w:pStyle w:val="2"/>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本指引所称合规风险，是指省出资企业及其员工因不合规行为，引发法律责任、受到相关处罚、造成经济或声誉损失以及其他负面影响的可能性。</w:t>
      </w:r>
    </w:p>
    <w:p>
      <w:pPr>
        <w:pStyle w:val="2"/>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本指引所称合规管理，是指以有效防控合规风险为目的，以企业和员工经营管理行为为对象，开展包括制度制定、风险识别、合规审查、风险应对、责任追究、考核评价、合规培训等有组织、有计划的管理活动。</w:t>
      </w:r>
    </w:p>
    <w:p>
      <w:pPr>
        <w:pStyle w:val="2"/>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w:t>
      </w:r>
      <w:r>
        <w:rPr>
          <w:rStyle w:val="5"/>
          <w:rFonts w:hint="eastAsia" w:ascii="仿宋" w:hAnsi="仿宋" w:eastAsia="仿宋" w:cs="仿宋"/>
          <w:color w:val="000000" w:themeColor="text1"/>
          <w:sz w:val="32"/>
          <w:szCs w:val="32"/>
          <w:shd w:val="clear" w:color="auto" w:fill="FFFFFF"/>
          <w14:textFill>
            <w14:solidFill>
              <w14:schemeClr w14:val="tx1"/>
            </w14:solidFill>
          </w14:textFill>
        </w:rPr>
        <w:t>第三条</w:t>
      </w:r>
      <w:r>
        <w:rPr>
          <w:rFonts w:ascii="Calibri" w:hAnsi="Calibri" w:eastAsia="仿宋" w:cs="Calibri"/>
          <w:color w:val="000000" w:themeColor="text1"/>
          <w:sz w:val="32"/>
          <w:szCs w:val="32"/>
          <w:shd w:val="clear" w:color="auto" w:fill="FFFFFF"/>
          <w14:textFill>
            <w14:solidFill>
              <w14:schemeClr w14:val="tx1"/>
            </w14:solidFill>
          </w14:textFill>
        </w:rPr>
        <w:t> </w:t>
      </w:r>
      <w:r>
        <w:rPr>
          <w:rFonts w:hint="eastAsia" w:ascii="仿宋" w:hAnsi="仿宋" w:eastAsia="仿宋" w:cs="仿宋"/>
          <w:color w:val="000000" w:themeColor="text1"/>
          <w:sz w:val="32"/>
          <w:szCs w:val="32"/>
          <w:shd w:val="clear" w:color="auto" w:fill="FFFFFF"/>
          <w14:textFill>
            <w14:solidFill>
              <w14:schemeClr w14:val="tx1"/>
            </w14:solidFill>
          </w14:textFill>
        </w:rPr>
        <w:t>省出资企业应当建立健全合规管理制度，完善合规管理组织架构，明确合规管理责任，加强合规文化建设，全面构建合规管理体系，树立依法合规、守法诚信的价值观，不断提升广大员工的合规意识和行为自觉，营造依规办事、按章操作的合规氛围，确保企业依法合规经营，有效防控合规风险。</w:t>
      </w:r>
    </w:p>
    <w:p>
      <w:pPr>
        <w:pStyle w:val="2"/>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w:t>
      </w:r>
      <w:r>
        <w:rPr>
          <w:rStyle w:val="5"/>
          <w:rFonts w:hint="eastAsia" w:ascii="仿宋" w:hAnsi="仿宋" w:eastAsia="仿宋" w:cs="仿宋"/>
          <w:color w:val="000000" w:themeColor="text1"/>
          <w:sz w:val="32"/>
          <w:szCs w:val="32"/>
          <w:shd w:val="clear" w:color="auto" w:fill="FFFFFF"/>
          <w14:textFill>
            <w14:solidFill>
              <w14:schemeClr w14:val="tx1"/>
            </w14:solidFill>
          </w14:textFill>
        </w:rPr>
        <w:t>第四条</w:t>
      </w:r>
      <w:r>
        <w:rPr>
          <w:rFonts w:ascii="Calibri" w:hAnsi="Calibri" w:eastAsia="仿宋" w:cs="Calibri"/>
          <w:color w:val="000000" w:themeColor="text1"/>
          <w:sz w:val="32"/>
          <w:szCs w:val="32"/>
          <w:shd w:val="clear" w:color="auto" w:fill="FFFFFF"/>
          <w14:textFill>
            <w14:solidFill>
              <w14:schemeClr w14:val="tx1"/>
            </w14:solidFill>
          </w14:textFill>
        </w:rPr>
        <w:t> </w:t>
      </w:r>
      <w:r>
        <w:rPr>
          <w:rFonts w:hint="eastAsia" w:ascii="仿宋" w:hAnsi="仿宋" w:eastAsia="仿宋" w:cs="仿宋"/>
          <w:color w:val="000000" w:themeColor="text1"/>
          <w:sz w:val="32"/>
          <w:szCs w:val="32"/>
          <w:shd w:val="clear" w:color="auto" w:fill="FFFFFF"/>
          <w14:textFill>
            <w14:solidFill>
              <w14:schemeClr w14:val="tx1"/>
            </w14:solidFill>
          </w14:textFill>
        </w:rPr>
        <w:t>省出资企业应当按照以下原则建立健全合规管理体系：</w:t>
      </w:r>
    </w:p>
    <w:p>
      <w:pPr>
        <w:pStyle w:val="2"/>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（一）全面覆盖。坚持将合规要求覆盖各业务领域、各部门、各级子企业和分支机构、全体员工，贯穿决策、执行、监督全流程。</w:t>
      </w:r>
    </w:p>
    <w:p>
      <w:pPr>
        <w:pStyle w:val="2"/>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（二）强化责任。把加强合规管理作为企业主要负责人履行推进法治建设第一责任人职责的重要内容。建立全员合规责任制，明确管理人员和各岗位员工的合规责任并督促有效落实。</w:t>
      </w:r>
    </w:p>
    <w:p>
      <w:pPr>
        <w:pStyle w:val="2"/>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（三）协同联动。推动合规管理与法律风险防范、纪检监察、审计、内控、风险管理等工作相统筹、相衔接，确保合规管理体系有效运行。</w:t>
      </w:r>
    </w:p>
    <w:p>
      <w:pPr>
        <w:pStyle w:val="2"/>
        <w:widowControl/>
        <w:wordWrap w:val="0"/>
        <w:spacing w:before="10" w:after="10" w:line="360" w:lineRule="auto"/>
        <w:ind w:firstLine="560"/>
        <w:jc w:val="both"/>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（四）客观独立。严格依照法律法规等规定对企业和员工行为进行客观评价和处理。合规管理部门独立履行职责，不受其他部门和人员的干涉。</w:t>
      </w:r>
    </w:p>
    <w:p>
      <w:pPr>
        <w:pStyle w:val="2"/>
        <w:widowControl/>
        <w:wordWrap w:val="0"/>
        <w:spacing w:before="10" w:after="10" w:line="360" w:lineRule="auto"/>
        <w:ind w:firstLine="560"/>
        <w:jc w:val="both"/>
        <w:rPr>
          <w:rFonts w:ascii="仿宋" w:hAnsi="仿宋" w:eastAsia="仿宋" w:cs="仿宋"/>
          <w:color w:val="000000" w:themeColor="text1"/>
          <w:sz w:val="32"/>
          <w:szCs w:val="32"/>
          <w:shd w:val="clear" w:color="auto" w:fill="FFFFFF"/>
          <w14:textFill>
            <w14:solidFill>
              <w14:schemeClr w14:val="tx1"/>
            </w14:solidFill>
          </w14:textFill>
        </w:rPr>
      </w:pPr>
      <w:r>
        <w:rPr>
          <w:rStyle w:val="5"/>
          <w:rFonts w:hint="eastAsia" w:ascii="仿宋" w:hAnsi="仿宋" w:eastAsia="仿宋" w:cs="仿宋"/>
          <w:color w:val="000000" w:themeColor="text1"/>
          <w:sz w:val="32"/>
          <w:szCs w:val="32"/>
          <w:shd w:val="clear" w:color="auto" w:fill="FFFFFF"/>
          <w14:textFill>
            <w14:solidFill>
              <w14:schemeClr w14:val="tx1"/>
            </w14:solidFill>
          </w14:textFill>
        </w:rPr>
        <w:t>第五条</w:t>
      </w:r>
      <w:r>
        <w:rPr>
          <w:rFonts w:ascii="Calibri" w:hAnsi="Calibri" w:eastAsia="仿宋" w:cs="Calibri"/>
          <w:color w:val="000000" w:themeColor="text1"/>
          <w:sz w:val="32"/>
          <w:szCs w:val="32"/>
          <w:shd w:val="clear" w:color="auto" w:fill="FFFFFF"/>
          <w14:textFill>
            <w14:solidFill>
              <w14:schemeClr w14:val="tx1"/>
            </w14:solidFill>
          </w14:textFill>
        </w:rPr>
        <w:t> </w:t>
      </w:r>
      <w:r>
        <w:rPr>
          <w:rFonts w:hint="eastAsia" w:ascii="仿宋" w:hAnsi="仿宋" w:eastAsia="仿宋" w:cs="仿宋"/>
          <w:color w:val="000000" w:themeColor="text1"/>
          <w:sz w:val="32"/>
          <w:szCs w:val="32"/>
          <w:shd w:val="clear" w:color="auto" w:fill="FFFFFF"/>
          <w14:textFill>
            <w14:solidFill>
              <w14:schemeClr w14:val="tx1"/>
            </w14:solidFill>
          </w14:textFill>
        </w:rPr>
        <w:t>省国资委负责指导监督省出资企业合规管理工作。</w:t>
      </w:r>
    </w:p>
    <w:p>
      <w:pPr>
        <w:pStyle w:val="2"/>
        <w:widowControl/>
        <w:wordWrap w:val="0"/>
        <w:spacing w:before="10" w:after="10" w:line="360" w:lineRule="auto"/>
        <w:rPr>
          <w:rFonts w:ascii="仿宋" w:hAnsi="仿宋" w:eastAsia="仿宋" w:cs="仿宋"/>
          <w:color w:val="000000" w:themeColor="text1"/>
          <w:sz w:val="32"/>
          <w:szCs w:val="32"/>
          <w14:textFill>
            <w14:solidFill>
              <w14:schemeClr w14:val="tx1"/>
            </w14:solidFill>
          </w14:textFill>
        </w:rPr>
      </w:pPr>
    </w:p>
    <w:p>
      <w:pPr>
        <w:pStyle w:val="2"/>
        <w:widowControl/>
        <w:wordWrap w:val="0"/>
        <w:spacing w:before="10" w:after="10" w:line="360" w:lineRule="auto"/>
        <w:jc w:val="center"/>
        <w:rPr>
          <w:rFonts w:ascii="仿宋" w:hAnsi="仿宋" w:eastAsia="仿宋" w:cs="仿宋"/>
          <w:color w:val="000000" w:themeColor="text1"/>
          <w:sz w:val="32"/>
          <w:szCs w:val="32"/>
          <w14:textFill>
            <w14:solidFill>
              <w14:schemeClr w14:val="tx1"/>
            </w14:solidFill>
          </w14:textFill>
        </w:rPr>
      </w:pPr>
      <w:r>
        <w:rPr>
          <w:rStyle w:val="5"/>
          <w:rFonts w:hint="eastAsia" w:ascii="仿宋" w:hAnsi="仿宋" w:eastAsia="仿宋" w:cs="仿宋"/>
          <w:color w:val="000000" w:themeColor="text1"/>
          <w:sz w:val="32"/>
          <w:szCs w:val="32"/>
          <w:shd w:val="clear" w:color="auto" w:fill="FFFFFF"/>
          <w14:textFill>
            <w14:solidFill>
              <w14:schemeClr w14:val="tx1"/>
            </w14:solidFill>
          </w14:textFill>
        </w:rPr>
        <w:t>第二章</w:t>
      </w:r>
      <w:r>
        <w:rPr>
          <w:rStyle w:val="5"/>
          <w:rFonts w:ascii="仿宋" w:hAnsi="仿宋" w:eastAsia="仿宋" w:cs="仿宋"/>
          <w:color w:val="000000" w:themeColor="text1"/>
          <w:sz w:val="32"/>
          <w:szCs w:val="32"/>
          <w:shd w:val="clear" w:color="auto" w:fill="FFFFFF"/>
          <w14:textFill>
            <w14:solidFill>
              <w14:schemeClr w14:val="tx1"/>
            </w14:solidFill>
          </w14:textFill>
        </w:rPr>
        <w:t xml:space="preserve"> </w:t>
      </w:r>
      <w:r>
        <w:rPr>
          <w:rStyle w:val="5"/>
          <w:rFonts w:ascii="Calibri" w:hAnsi="Calibri" w:eastAsia="仿宋" w:cs="Calibri"/>
          <w:color w:val="000000" w:themeColor="text1"/>
          <w:sz w:val="32"/>
          <w:szCs w:val="32"/>
          <w:shd w:val="clear" w:color="auto" w:fill="FFFFFF"/>
          <w14:textFill>
            <w14:solidFill>
              <w14:schemeClr w14:val="tx1"/>
            </w14:solidFill>
          </w14:textFill>
        </w:rPr>
        <w:t>  </w:t>
      </w:r>
      <w:r>
        <w:rPr>
          <w:rStyle w:val="5"/>
          <w:rFonts w:hint="eastAsia" w:ascii="仿宋" w:hAnsi="仿宋" w:eastAsia="仿宋" w:cs="仿宋"/>
          <w:color w:val="000000" w:themeColor="text1"/>
          <w:sz w:val="32"/>
          <w:szCs w:val="32"/>
          <w:shd w:val="clear" w:color="auto" w:fill="FFFFFF"/>
          <w14:textFill>
            <w14:solidFill>
              <w14:schemeClr w14:val="tx1"/>
            </w14:solidFill>
          </w14:textFill>
        </w:rPr>
        <w:t>合规管理职责</w:t>
      </w:r>
    </w:p>
    <w:p>
      <w:pPr>
        <w:pStyle w:val="2"/>
        <w:widowControl/>
        <w:wordWrap w:val="0"/>
        <w:spacing w:before="10" w:after="10" w:line="360" w:lineRule="auto"/>
        <w:rPr>
          <w:rFonts w:ascii="仿宋" w:hAnsi="仿宋" w:eastAsia="仿宋" w:cs="仿宋"/>
          <w:color w:val="000000" w:themeColor="text1"/>
          <w:sz w:val="32"/>
          <w:szCs w:val="32"/>
          <w14:textFill>
            <w14:solidFill>
              <w14:schemeClr w14:val="tx1"/>
            </w14:solidFill>
          </w14:textFill>
        </w:rPr>
      </w:pPr>
    </w:p>
    <w:p>
      <w:pPr>
        <w:pStyle w:val="2"/>
        <w:widowControl/>
        <w:spacing w:before="10" w:after="10" w:line="360" w:lineRule="auto"/>
        <w:ind w:firstLine="560"/>
        <w:jc w:val="both"/>
        <w:rPr>
          <w:rFonts w:ascii="仿宋" w:hAnsi="仿宋" w:eastAsia="仿宋" w:cs="仿宋"/>
          <w:color w:val="000000" w:themeColor="text1"/>
          <w:sz w:val="32"/>
          <w:szCs w:val="32"/>
          <w:shd w:val="clear" w:color="auto" w:fill="FFFFFF"/>
          <w14:textFill>
            <w14:solidFill>
              <w14:schemeClr w14:val="tx1"/>
            </w14:solidFill>
          </w14:textFill>
        </w:rPr>
      </w:pPr>
      <w:r>
        <w:rPr>
          <w:rStyle w:val="5"/>
          <w:rFonts w:hint="eastAsia" w:ascii="仿宋" w:hAnsi="仿宋" w:eastAsia="仿宋" w:cs="仿宋"/>
          <w:color w:val="000000" w:themeColor="text1"/>
          <w:sz w:val="32"/>
          <w:szCs w:val="32"/>
          <w:shd w:val="clear" w:color="auto" w:fill="FFFFFF"/>
          <w14:textFill>
            <w14:solidFill>
              <w14:schemeClr w14:val="tx1"/>
            </w14:solidFill>
          </w14:textFill>
        </w:rPr>
        <w:t>第六条</w:t>
      </w:r>
      <w:r>
        <w:rPr>
          <w:rStyle w:val="5"/>
          <w:rFonts w:ascii="仿宋" w:hAnsi="仿宋" w:eastAsia="仿宋" w:cs="仿宋"/>
          <w:color w:val="000000" w:themeColor="text1"/>
          <w:sz w:val="32"/>
          <w:szCs w:val="32"/>
          <w:shd w:val="clear" w:color="auto" w:fill="FFFFFF"/>
          <w14:textFill>
            <w14:solidFill>
              <w14:schemeClr w14:val="tx1"/>
            </w14:solidFill>
          </w14:textFill>
        </w:rPr>
        <w:t xml:space="preserve"> </w:t>
      </w:r>
      <w:r>
        <w:rPr>
          <w:rFonts w:hint="eastAsia" w:ascii="仿宋" w:hAnsi="仿宋" w:eastAsia="仿宋" w:cs="仿宋"/>
          <w:color w:val="000000" w:themeColor="text1"/>
          <w:sz w:val="32"/>
          <w:szCs w:val="32"/>
          <w:shd w:val="clear" w:color="auto" w:fill="FFFFFF"/>
          <w14:textFill>
            <w14:solidFill>
              <w14:schemeClr w14:val="tx1"/>
            </w14:solidFill>
          </w14:textFill>
        </w:rPr>
        <w:t>党委会的合规管理职责主要包括：</w:t>
      </w:r>
    </w:p>
    <w:p>
      <w:pPr>
        <w:pStyle w:val="2"/>
        <w:widowControl/>
        <w:wordWrap w:val="0"/>
        <w:spacing w:before="10" w:after="10" w:line="360" w:lineRule="auto"/>
        <w:ind w:firstLine="560"/>
        <w:jc w:val="both"/>
        <w:rPr>
          <w:rFonts w:ascii="仿宋" w:hAnsi="仿宋" w:eastAsia="仿宋" w:cs="仿宋"/>
          <w:color w:val="000000" w:themeColor="text1"/>
          <w:sz w:val="32"/>
          <w:szCs w:val="32"/>
          <w:shd w:val="clear" w:color="auto" w:fill="FFFFFF"/>
          <w14:textFill>
            <w14:solidFill>
              <w14:schemeClr w14:val="tx1"/>
            </w14:solidFill>
          </w14:textFill>
        </w:rPr>
      </w:pPr>
      <w:r>
        <w:rPr>
          <w:rFonts w:ascii="仿宋" w:hAnsi="仿宋" w:eastAsia="仿宋" w:cs="仿宋"/>
          <w:color w:val="000000" w:themeColor="text1"/>
          <w:sz w:val="32"/>
          <w:szCs w:val="32"/>
          <w:shd w:val="clear" w:color="auto" w:fill="FFFFFF"/>
          <w14:textFill>
            <w14:solidFill>
              <w14:schemeClr w14:val="tx1"/>
            </w14:solidFill>
          </w14:textFill>
        </w:rPr>
        <w:t>（一）全面领导、统筹推进合规管理工作；</w:t>
      </w:r>
    </w:p>
    <w:p>
      <w:pPr>
        <w:pStyle w:val="2"/>
        <w:widowControl/>
        <w:wordWrap w:val="0"/>
        <w:spacing w:before="10" w:after="10" w:line="360" w:lineRule="auto"/>
        <w:ind w:firstLine="560"/>
        <w:jc w:val="both"/>
        <w:rPr>
          <w:rFonts w:ascii="仿宋" w:hAnsi="仿宋" w:eastAsia="仿宋" w:cs="仿宋"/>
          <w:color w:val="000000" w:themeColor="text1"/>
          <w:sz w:val="32"/>
          <w:szCs w:val="32"/>
          <w:shd w:val="clear" w:color="auto" w:fill="FFFFFF"/>
          <w14:textFill>
            <w14:solidFill>
              <w14:schemeClr w14:val="tx1"/>
            </w14:solidFill>
          </w14:textFill>
        </w:rPr>
      </w:pPr>
      <w:r>
        <w:rPr>
          <w:rFonts w:ascii="仿宋" w:hAnsi="仿宋" w:eastAsia="仿宋" w:cs="仿宋"/>
          <w:color w:val="000000" w:themeColor="text1"/>
          <w:sz w:val="32"/>
          <w:szCs w:val="32"/>
          <w:shd w:val="clear" w:color="auto" w:fill="FFFFFF"/>
          <w14:textFill>
            <w14:solidFill>
              <w14:schemeClr w14:val="tx1"/>
            </w14:solidFill>
          </w14:textFill>
        </w:rPr>
        <w:t>（二）推动科学立规、严格执规、自觉守规、严惩违规；</w:t>
      </w:r>
    </w:p>
    <w:p>
      <w:pPr>
        <w:pStyle w:val="2"/>
        <w:widowControl/>
        <w:wordWrap w:val="0"/>
        <w:spacing w:before="10" w:after="10" w:line="360" w:lineRule="auto"/>
        <w:ind w:firstLine="560"/>
        <w:jc w:val="both"/>
        <w:rPr>
          <w:rFonts w:ascii="仿宋" w:hAnsi="仿宋" w:eastAsia="仿宋" w:cs="仿宋"/>
          <w:color w:val="000000" w:themeColor="text1"/>
          <w:sz w:val="32"/>
          <w:szCs w:val="32"/>
          <w:shd w:val="clear" w:color="auto" w:fill="FFFFFF"/>
          <w14:textFill>
            <w14:solidFill>
              <w14:schemeClr w14:val="tx1"/>
            </w14:solidFill>
          </w14:textFill>
        </w:rPr>
      </w:pPr>
      <w:r>
        <w:rPr>
          <w:rFonts w:ascii="仿宋" w:hAnsi="仿宋" w:eastAsia="仿宋" w:cs="仿宋"/>
          <w:color w:val="000000" w:themeColor="text1"/>
          <w:sz w:val="32"/>
          <w:szCs w:val="32"/>
          <w:shd w:val="clear" w:color="auto" w:fill="FFFFFF"/>
          <w14:textFill>
            <w14:solidFill>
              <w14:schemeClr w14:val="tx1"/>
            </w14:solidFill>
          </w14:textFill>
        </w:rPr>
        <w:t>（三）研究合规管理负责人人选、合规管理</w:t>
      </w:r>
      <w:r>
        <w:rPr>
          <w:rFonts w:hint="eastAsia" w:ascii="仿宋" w:hAnsi="仿宋" w:eastAsia="仿宋" w:cs="仿宋"/>
          <w:color w:val="000000" w:themeColor="text1"/>
          <w:sz w:val="32"/>
          <w:szCs w:val="32"/>
          <w:shd w:val="clear" w:color="auto" w:fill="FFFFFF"/>
          <w14:textFill>
            <w14:solidFill>
              <w14:schemeClr w14:val="tx1"/>
            </w14:solidFill>
          </w14:textFill>
        </w:rPr>
        <w:t>综合</w:t>
      </w:r>
      <w:r>
        <w:rPr>
          <w:rFonts w:ascii="仿宋" w:hAnsi="仿宋" w:eastAsia="仿宋" w:cs="仿宋"/>
          <w:color w:val="000000" w:themeColor="text1"/>
          <w:sz w:val="32"/>
          <w:szCs w:val="32"/>
          <w:shd w:val="clear" w:color="auto" w:fill="FFFFFF"/>
          <w14:textFill>
            <w14:solidFill>
              <w14:schemeClr w14:val="tx1"/>
            </w14:solidFill>
          </w14:textFill>
        </w:rPr>
        <w:t>部门设置；</w:t>
      </w:r>
    </w:p>
    <w:p>
      <w:pPr>
        <w:pStyle w:val="2"/>
        <w:widowControl/>
        <w:wordWrap w:val="0"/>
        <w:spacing w:before="10" w:after="10" w:line="360" w:lineRule="auto"/>
        <w:ind w:firstLine="560"/>
        <w:jc w:val="both"/>
        <w:rPr>
          <w:rFonts w:ascii="仿宋" w:hAnsi="仿宋" w:eastAsia="仿宋" w:cs="仿宋"/>
          <w:color w:val="000000" w:themeColor="text1"/>
          <w:sz w:val="32"/>
          <w:szCs w:val="32"/>
          <w:shd w:val="clear" w:color="auto" w:fill="FFFFFF"/>
          <w14:textFill>
            <w14:solidFill>
              <w14:schemeClr w14:val="tx1"/>
            </w14:solidFill>
          </w14:textFill>
        </w:rPr>
      </w:pPr>
      <w:r>
        <w:rPr>
          <w:rFonts w:ascii="仿宋" w:hAnsi="仿宋" w:eastAsia="仿宋" w:cs="仿宋"/>
          <w:color w:val="000000" w:themeColor="text1"/>
          <w:sz w:val="32"/>
          <w:szCs w:val="32"/>
          <w:shd w:val="clear" w:color="auto" w:fill="FFFFFF"/>
          <w14:textFill>
            <w14:solidFill>
              <w14:schemeClr w14:val="tx1"/>
            </w14:solidFill>
          </w14:textFill>
        </w:rPr>
        <w:t>（四）对董事会、监事会、高级管理人员的合规经营管理情况进行监督；</w:t>
      </w:r>
    </w:p>
    <w:p>
      <w:pPr>
        <w:pStyle w:val="2"/>
        <w:widowControl/>
        <w:wordWrap w:val="0"/>
        <w:spacing w:before="10" w:after="10" w:line="360" w:lineRule="auto"/>
        <w:ind w:firstLine="560"/>
        <w:jc w:val="both"/>
        <w:rPr>
          <w:rFonts w:ascii="仿宋" w:hAnsi="仿宋" w:eastAsia="仿宋" w:cs="仿宋"/>
          <w:color w:val="000000" w:themeColor="text1"/>
          <w:sz w:val="32"/>
          <w:szCs w:val="32"/>
          <w:shd w:val="clear" w:color="auto" w:fill="FFFFFF"/>
          <w14:textFill>
            <w14:solidFill>
              <w14:schemeClr w14:val="tx1"/>
            </w14:solidFill>
          </w14:textFill>
        </w:rPr>
      </w:pPr>
      <w:r>
        <w:rPr>
          <w:rFonts w:ascii="仿宋" w:hAnsi="仿宋" w:eastAsia="仿宋" w:cs="仿宋"/>
          <w:color w:val="000000" w:themeColor="text1"/>
          <w:sz w:val="32"/>
          <w:szCs w:val="32"/>
          <w:shd w:val="clear" w:color="auto" w:fill="FFFFFF"/>
          <w14:textFill>
            <w14:solidFill>
              <w14:schemeClr w14:val="tx1"/>
            </w14:solidFill>
          </w14:textFill>
        </w:rPr>
        <w:t>（五）对合规管理的重大事项研究提出意见；</w:t>
      </w:r>
    </w:p>
    <w:p>
      <w:pPr>
        <w:pStyle w:val="2"/>
        <w:widowControl/>
        <w:wordWrap w:val="0"/>
        <w:spacing w:before="10" w:after="10" w:line="360" w:lineRule="auto"/>
        <w:ind w:firstLine="560"/>
        <w:jc w:val="both"/>
        <w:rPr>
          <w:rFonts w:ascii="仿宋" w:hAnsi="仿宋" w:eastAsia="仿宋" w:cs="仿宋"/>
          <w:color w:val="000000" w:themeColor="text1"/>
          <w:sz w:val="32"/>
          <w:szCs w:val="32"/>
          <w:shd w:val="clear" w:color="auto" w:fill="FFFFFF"/>
          <w14:textFill>
            <w14:solidFill>
              <w14:schemeClr w14:val="tx1"/>
            </w14:solidFill>
          </w14:textFill>
        </w:rPr>
      </w:pPr>
      <w:r>
        <w:rPr>
          <w:rFonts w:ascii="仿宋" w:hAnsi="仿宋" w:eastAsia="仿宋" w:cs="仿宋"/>
          <w:color w:val="000000" w:themeColor="text1"/>
          <w:sz w:val="32"/>
          <w:szCs w:val="32"/>
          <w:shd w:val="clear" w:color="auto" w:fill="FFFFFF"/>
          <w14:textFill>
            <w14:solidFill>
              <w14:schemeClr w14:val="tx1"/>
            </w14:solidFill>
          </w14:textFill>
        </w:rPr>
        <w:t>（六）按照权限研究或决定对有关违规人员的处理事项。</w:t>
      </w:r>
    </w:p>
    <w:p>
      <w:pPr>
        <w:pStyle w:val="2"/>
        <w:widowControl/>
        <w:wordWrap w:val="0"/>
        <w:spacing w:before="10" w:after="10" w:line="360" w:lineRule="auto"/>
        <w:ind w:firstLine="643" w:firstLineChars="200"/>
        <w:jc w:val="both"/>
        <w:rPr>
          <w:rFonts w:ascii="仿宋" w:hAnsi="仿宋" w:eastAsia="仿宋" w:cs="仿宋"/>
          <w:color w:val="000000" w:themeColor="text1"/>
          <w:sz w:val="32"/>
          <w:szCs w:val="32"/>
          <w14:textFill>
            <w14:solidFill>
              <w14:schemeClr w14:val="tx1"/>
            </w14:solidFill>
          </w14:textFill>
        </w:rPr>
      </w:pPr>
      <w:r>
        <w:rPr>
          <w:rStyle w:val="5"/>
          <w:rFonts w:hint="eastAsia" w:ascii="仿宋" w:hAnsi="仿宋" w:eastAsia="仿宋" w:cs="仿宋"/>
          <w:color w:val="000000" w:themeColor="text1"/>
          <w:sz w:val="32"/>
          <w:szCs w:val="32"/>
          <w:shd w:val="clear" w:color="auto" w:fill="FFFFFF"/>
          <w14:textFill>
            <w14:solidFill>
              <w14:schemeClr w14:val="tx1"/>
            </w14:solidFill>
          </w14:textFill>
        </w:rPr>
        <w:t>第七条</w:t>
      </w:r>
      <w:r>
        <w:rPr>
          <w:rStyle w:val="5"/>
          <w:rFonts w:ascii="仿宋" w:hAnsi="仿宋" w:eastAsia="仿宋" w:cs="仿宋"/>
          <w:color w:val="000000" w:themeColor="text1"/>
          <w:sz w:val="32"/>
          <w:szCs w:val="32"/>
          <w:shd w:val="clear" w:color="auto" w:fill="FFFFFF"/>
          <w14:textFill>
            <w14:solidFill>
              <w14:schemeClr w14:val="tx1"/>
            </w14:solidFill>
          </w14:textFill>
        </w:rPr>
        <w:t xml:space="preserve"> </w:t>
      </w:r>
      <w:r>
        <w:rPr>
          <w:rFonts w:hint="eastAsia" w:ascii="仿宋" w:hAnsi="仿宋" w:eastAsia="仿宋" w:cs="仿宋"/>
          <w:color w:val="000000" w:themeColor="text1"/>
          <w:sz w:val="32"/>
          <w:szCs w:val="32"/>
          <w:shd w:val="clear" w:color="auto" w:fill="FFFFFF"/>
          <w14:textFill>
            <w14:solidFill>
              <w14:schemeClr w14:val="tx1"/>
            </w14:solidFill>
          </w14:textFill>
        </w:rPr>
        <w:t>董事会的合规管理职责主要包括：</w:t>
      </w:r>
    </w:p>
    <w:p>
      <w:pPr>
        <w:pStyle w:val="2"/>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（一）批准企业合规管理战略规划、基本制度；</w:t>
      </w:r>
    </w:p>
    <w:p>
      <w:pPr>
        <w:pStyle w:val="2"/>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（二）推动完善合规管理体系；</w:t>
      </w:r>
    </w:p>
    <w:p>
      <w:pPr>
        <w:pStyle w:val="2"/>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（三）决定合规管理负责人的任免；</w:t>
      </w:r>
    </w:p>
    <w:p>
      <w:pPr>
        <w:pStyle w:val="2"/>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（四）决定合规管理综合部门的设置和职能；</w:t>
      </w:r>
    </w:p>
    <w:p>
      <w:pPr>
        <w:pStyle w:val="2"/>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（五）研究决定合规管理有关重大事项；</w:t>
      </w:r>
    </w:p>
    <w:p>
      <w:pPr>
        <w:pStyle w:val="2"/>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（六）按照权限决定有关违规人员的处理事项；</w:t>
      </w:r>
    </w:p>
    <w:p>
      <w:pPr>
        <w:pStyle w:val="2"/>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（七）审议企业合规管理年度工作情况报告。</w:t>
      </w:r>
    </w:p>
    <w:p>
      <w:pPr>
        <w:pStyle w:val="2"/>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w:t>
      </w:r>
      <w:r>
        <w:rPr>
          <w:rStyle w:val="5"/>
          <w:rFonts w:hint="eastAsia" w:ascii="仿宋" w:hAnsi="仿宋" w:eastAsia="仿宋" w:cs="仿宋"/>
          <w:color w:val="000000" w:themeColor="text1"/>
          <w:sz w:val="32"/>
          <w:szCs w:val="32"/>
          <w:shd w:val="clear" w:color="auto" w:fill="FFFFFF"/>
          <w14:textFill>
            <w14:solidFill>
              <w14:schemeClr w14:val="tx1"/>
            </w14:solidFill>
          </w14:textFill>
        </w:rPr>
        <w:t>第八条</w:t>
      </w:r>
      <w:r>
        <w:rPr>
          <w:rFonts w:ascii="Calibri" w:hAnsi="Calibri" w:eastAsia="仿宋" w:cs="Calibri"/>
          <w:color w:val="000000" w:themeColor="text1"/>
          <w:sz w:val="32"/>
          <w:szCs w:val="32"/>
          <w:shd w:val="clear" w:color="auto" w:fill="FFFFFF"/>
          <w14:textFill>
            <w14:solidFill>
              <w14:schemeClr w14:val="tx1"/>
            </w14:solidFill>
          </w14:textFill>
        </w:rPr>
        <w:t> </w:t>
      </w:r>
      <w:r>
        <w:rPr>
          <w:rFonts w:hint="eastAsia" w:ascii="仿宋" w:hAnsi="仿宋" w:eastAsia="仿宋" w:cs="仿宋"/>
          <w:color w:val="000000" w:themeColor="text1"/>
          <w:sz w:val="32"/>
          <w:szCs w:val="32"/>
          <w:shd w:val="clear" w:color="auto" w:fill="FFFFFF"/>
          <w14:textFill>
            <w14:solidFill>
              <w14:schemeClr w14:val="tx1"/>
            </w14:solidFill>
          </w14:textFill>
        </w:rPr>
        <w:t>监事会的合规管理职责主要包括：</w:t>
      </w:r>
    </w:p>
    <w:p>
      <w:pPr>
        <w:pStyle w:val="2"/>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（一）监督董事会的决策与流程是否合规；</w:t>
      </w:r>
    </w:p>
    <w:p>
      <w:pPr>
        <w:pStyle w:val="2"/>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（二）监督董事和高级管理人员合规管理职责履行情况；</w:t>
      </w:r>
    </w:p>
    <w:p>
      <w:pPr>
        <w:pStyle w:val="2"/>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（三）对引发重大合规风险负有主要责任的董事、高级管理人员提出罢免建议；</w:t>
      </w:r>
    </w:p>
    <w:p>
      <w:pPr>
        <w:pStyle w:val="2"/>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（四）向董事会提出撤换公司合规管理负责人的建议。</w:t>
      </w:r>
    </w:p>
    <w:p>
      <w:pPr>
        <w:pStyle w:val="2"/>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w:t>
      </w:r>
      <w:r>
        <w:rPr>
          <w:rStyle w:val="5"/>
          <w:rFonts w:hint="eastAsia" w:ascii="仿宋" w:hAnsi="仿宋" w:eastAsia="仿宋" w:cs="仿宋"/>
          <w:color w:val="000000" w:themeColor="text1"/>
          <w:sz w:val="32"/>
          <w:szCs w:val="32"/>
          <w:shd w:val="clear" w:color="auto" w:fill="FFFFFF"/>
          <w14:textFill>
            <w14:solidFill>
              <w14:schemeClr w14:val="tx1"/>
            </w14:solidFill>
          </w14:textFill>
        </w:rPr>
        <w:t>第九条</w:t>
      </w:r>
      <w:r>
        <w:rPr>
          <w:rFonts w:ascii="Calibri" w:hAnsi="Calibri" w:eastAsia="仿宋" w:cs="Calibri"/>
          <w:color w:val="000000" w:themeColor="text1"/>
          <w:sz w:val="32"/>
          <w:szCs w:val="32"/>
          <w:shd w:val="clear" w:color="auto" w:fill="FFFFFF"/>
          <w14:textFill>
            <w14:solidFill>
              <w14:schemeClr w14:val="tx1"/>
            </w14:solidFill>
          </w14:textFill>
        </w:rPr>
        <w:t> </w:t>
      </w:r>
      <w:r>
        <w:rPr>
          <w:rFonts w:hint="eastAsia" w:ascii="仿宋" w:hAnsi="仿宋" w:eastAsia="仿宋" w:cs="仿宋"/>
          <w:color w:val="000000" w:themeColor="text1"/>
          <w:sz w:val="32"/>
          <w:szCs w:val="32"/>
          <w:shd w:val="clear" w:color="auto" w:fill="FFFFFF"/>
          <w14:textFill>
            <w14:solidFill>
              <w14:schemeClr w14:val="tx1"/>
            </w14:solidFill>
          </w14:textFill>
        </w:rPr>
        <w:t>经理层的合规管理职责主要包括：</w:t>
      </w:r>
    </w:p>
    <w:p>
      <w:pPr>
        <w:pStyle w:val="2"/>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（一）根据董事会决定，建立健全合规管理组织架构；</w:t>
      </w:r>
    </w:p>
    <w:p>
      <w:pPr>
        <w:pStyle w:val="2"/>
        <w:widowControl/>
        <w:wordWrap w:val="0"/>
        <w:spacing w:before="10" w:after="10" w:line="360" w:lineRule="auto"/>
        <w:ind w:firstLine="560"/>
        <w:jc w:val="both"/>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（二）拟定合规管理具体制度；</w:t>
      </w:r>
    </w:p>
    <w:p>
      <w:pPr>
        <w:pStyle w:val="2"/>
        <w:widowControl/>
        <w:wordWrap w:val="0"/>
        <w:spacing w:before="10" w:after="10" w:line="360" w:lineRule="auto"/>
        <w:ind w:firstLine="640" w:firstLineChars="200"/>
        <w:jc w:val="both"/>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（三）批准合规管理计划，采取措施确保合规制度得到有效执行；</w:t>
      </w:r>
    </w:p>
    <w:p>
      <w:pPr>
        <w:pStyle w:val="2"/>
        <w:widowControl/>
        <w:wordWrap w:val="0"/>
        <w:spacing w:before="10" w:after="10" w:line="360" w:lineRule="auto"/>
        <w:jc w:val="both"/>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（四）明确合规管理流程，确保合规要求融入各领域；</w:t>
      </w:r>
    </w:p>
    <w:p>
      <w:pPr>
        <w:pStyle w:val="2"/>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（五）及时制止并纠正不合规的经营行为，按照权限对违规人员进行责任追究或提出处理建议；</w:t>
      </w:r>
    </w:p>
    <w:p>
      <w:pPr>
        <w:pStyle w:val="2"/>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（六）董事会授权的其他事项。</w:t>
      </w:r>
    </w:p>
    <w:p>
      <w:pPr>
        <w:pStyle w:val="2"/>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w:t>
      </w:r>
      <w:r>
        <w:rPr>
          <w:rStyle w:val="5"/>
          <w:rFonts w:hint="eastAsia" w:ascii="仿宋" w:hAnsi="仿宋" w:eastAsia="仿宋" w:cs="仿宋"/>
          <w:color w:val="000000" w:themeColor="text1"/>
          <w:sz w:val="32"/>
          <w:szCs w:val="32"/>
          <w:shd w:val="clear" w:color="auto" w:fill="FFFFFF"/>
          <w14:textFill>
            <w14:solidFill>
              <w14:schemeClr w14:val="tx1"/>
            </w14:solidFill>
          </w14:textFill>
        </w:rPr>
        <w:t>第十条</w:t>
      </w:r>
      <w:r>
        <w:rPr>
          <w:rFonts w:ascii="Calibri" w:hAnsi="Calibri" w:eastAsia="仿宋" w:cs="Calibri"/>
          <w:color w:val="000000" w:themeColor="text1"/>
          <w:sz w:val="32"/>
          <w:szCs w:val="32"/>
          <w:shd w:val="clear" w:color="auto" w:fill="FFFFFF"/>
          <w14:textFill>
            <w14:solidFill>
              <w14:schemeClr w14:val="tx1"/>
            </w14:solidFill>
          </w14:textFill>
        </w:rPr>
        <w:t> </w:t>
      </w:r>
      <w:r>
        <w:rPr>
          <w:rFonts w:hint="eastAsia" w:ascii="仿宋" w:hAnsi="仿宋" w:eastAsia="仿宋" w:cs="仿宋"/>
          <w:color w:val="000000" w:themeColor="text1"/>
          <w:sz w:val="32"/>
          <w:szCs w:val="32"/>
          <w:shd w:val="clear" w:color="auto" w:fill="FFFFFF"/>
          <w14:textFill>
            <w14:solidFill>
              <w14:schemeClr w14:val="tx1"/>
            </w14:solidFill>
          </w14:textFill>
        </w:rPr>
        <w:t>省出资企业设立合规委员会，可与企业法治建设领导小组合署</w:t>
      </w:r>
      <w:r>
        <w:rPr>
          <w:rFonts w:ascii="仿宋" w:hAnsi="仿宋" w:eastAsia="仿宋" w:cs="仿宋"/>
          <w:color w:val="000000" w:themeColor="text1"/>
          <w:sz w:val="32"/>
          <w:szCs w:val="32"/>
          <w:shd w:val="clear" w:color="auto" w:fill="FFFFFF"/>
          <w14:textFill>
            <w14:solidFill>
              <w14:schemeClr w14:val="tx1"/>
            </w14:solidFill>
          </w14:textFill>
        </w:rPr>
        <w:t>,</w:t>
      </w:r>
      <w:r>
        <w:rPr>
          <w:rFonts w:hint="eastAsia" w:ascii="仿宋" w:hAnsi="仿宋" w:eastAsia="仿宋" w:cs="仿宋"/>
          <w:color w:val="000000" w:themeColor="text1"/>
          <w:sz w:val="32"/>
          <w:szCs w:val="32"/>
          <w:shd w:val="clear" w:color="auto" w:fill="FFFFFF"/>
          <w14:textFill>
            <w14:solidFill>
              <w14:schemeClr w14:val="tx1"/>
            </w14:solidFill>
          </w14:textFill>
        </w:rPr>
        <w:t>承担合规管理的组织领导和统筹协调工作，定期召开会议，研究合规管理重大事项或提出意见建议，指导、监督和评价合规管理工作。</w:t>
      </w:r>
    </w:p>
    <w:p>
      <w:pPr>
        <w:pStyle w:val="2"/>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w:t>
      </w:r>
      <w:r>
        <w:rPr>
          <w:rStyle w:val="5"/>
          <w:rFonts w:hint="eastAsia" w:ascii="仿宋" w:hAnsi="仿宋" w:eastAsia="仿宋" w:cs="仿宋"/>
          <w:color w:val="000000" w:themeColor="text1"/>
          <w:sz w:val="32"/>
          <w:szCs w:val="32"/>
          <w:shd w:val="clear" w:color="auto" w:fill="FFFFFF"/>
          <w14:textFill>
            <w14:solidFill>
              <w14:schemeClr w14:val="tx1"/>
            </w14:solidFill>
          </w14:textFill>
        </w:rPr>
        <w:t>第十一条</w:t>
      </w:r>
      <w:r>
        <w:rPr>
          <w:rFonts w:ascii="Calibri" w:hAnsi="Calibri" w:eastAsia="仿宋" w:cs="Calibri"/>
          <w:color w:val="000000" w:themeColor="text1"/>
          <w:sz w:val="32"/>
          <w:szCs w:val="32"/>
          <w:shd w:val="clear" w:color="auto" w:fill="FFFFFF"/>
          <w14:textFill>
            <w14:solidFill>
              <w14:schemeClr w14:val="tx1"/>
            </w14:solidFill>
          </w14:textFill>
        </w:rPr>
        <w:t> </w:t>
      </w:r>
      <w:r>
        <w:rPr>
          <w:rFonts w:hint="eastAsia" w:ascii="仿宋" w:hAnsi="仿宋" w:eastAsia="仿宋" w:cs="仿宋"/>
          <w:color w:val="000000" w:themeColor="text1"/>
          <w:sz w:val="32"/>
          <w:szCs w:val="32"/>
          <w:shd w:val="clear" w:color="auto" w:fill="FFFFFF"/>
          <w14:textFill>
            <w14:solidFill>
              <w14:schemeClr w14:val="tx1"/>
            </w14:solidFill>
          </w14:textFill>
        </w:rPr>
        <w:t>省出资企业应当明确合规管理负责人，合规管理负责人可以由企业相关负责人或总法律顾问担任。主要职责包括：</w:t>
      </w:r>
    </w:p>
    <w:p>
      <w:pPr>
        <w:pStyle w:val="2"/>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（一）组织制订合规管理战略规划；</w:t>
      </w:r>
    </w:p>
    <w:p>
      <w:pPr>
        <w:pStyle w:val="2"/>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（二）参与企业重大决策并提出合规意见和建议；</w:t>
      </w:r>
    </w:p>
    <w:p>
      <w:pPr>
        <w:pStyle w:val="2"/>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（三）领导合规管理部门开展工作；</w:t>
      </w:r>
    </w:p>
    <w:p>
      <w:pPr>
        <w:pStyle w:val="2"/>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（四）向董事会和总经理汇报合规管理重大事项；</w:t>
      </w:r>
    </w:p>
    <w:p>
      <w:pPr>
        <w:pStyle w:val="2"/>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（五）召集和主持合规管理联席会议；</w:t>
      </w:r>
    </w:p>
    <w:p>
      <w:pPr>
        <w:pStyle w:val="2"/>
        <w:widowControl/>
        <w:wordWrap w:val="0"/>
        <w:spacing w:before="10" w:after="10" w:line="360" w:lineRule="auto"/>
        <w:ind w:firstLine="560"/>
        <w:jc w:val="both"/>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（六）组织起草合规管理年度工作情况报告；</w:t>
      </w:r>
    </w:p>
    <w:p>
      <w:pPr>
        <w:pStyle w:val="2"/>
        <w:widowControl/>
        <w:wordWrap w:val="0"/>
        <w:spacing w:before="10" w:after="10" w:line="360" w:lineRule="auto"/>
        <w:ind w:firstLine="560"/>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（七）董事会或合规委员会确定的其他合规管理职责。</w:t>
      </w:r>
    </w:p>
    <w:p>
      <w:pPr>
        <w:pStyle w:val="2"/>
        <w:widowControl/>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w:t>
      </w:r>
      <w:r>
        <w:rPr>
          <w:rStyle w:val="5"/>
          <w:rFonts w:hint="eastAsia" w:ascii="仿宋" w:hAnsi="仿宋" w:eastAsia="仿宋" w:cs="仿宋"/>
          <w:color w:val="000000" w:themeColor="text1"/>
          <w:sz w:val="32"/>
          <w:szCs w:val="32"/>
          <w:shd w:val="clear" w:color="auto" w:fill="FFFFFF"/>
          <w14:textFill>
            <w14:solidFill>
              <w14:schemeClr w14:val="tx1"/>
            </w14:solidFill>
          </w14:textFill>
        </w:rPr>
        <w:t>第十二条</w:t>
      </w:r>
      <w:r>
        <w:rPr>
          <w:rFonts w:ascii="Calibri" w:hAnsi="Calibri" w:eastAsia="仿宋" w:cs="Calibri"/>
          <w:color w:val="000000" w:themeColor="text1"/>
          <w:sz w:val="32"/>
          <w:szCs w:val="32"/>
          <w:shd w:val="clear" w:color="auto" w:fill="FFFFFF"/>
          <w14:textFill>
            <w14:solidFill>
              <w14:schemeClr w14:val="tx1"/>
            </w14:solidFill>
          </w14:textFill>
        </w:rPr>
        <w:t> </w:t>
      </w:r>
      <w:r>
        <w:rPr>
          <w:rFonts w:hint="eastAsia" w:ascii="仿宋" w:hAnsi="仿宋" w:eastAsia="仿宋" w:cs="仿宋"/>
          <w:color w:val="000000" w:themeColor="text1"/>
          <w:sz w:val="32"/>
          <w:szCs w:val="32"/>
          <w:shd w:val="clear" w:color="auto" w:fill="FFFFFF"/>
          <w14:textFill>
            <w14:solidFill>
              <w14:schemeClr w14:val="tx1"/>
            </w14:solidFill>
          </w14:textFill>
        </w:rPr>
        <w:t>省出资企业法律事务机构为合规管理综合部门，组织、协调和监督合规管理工作，为其他部门提供合规支持，主要职责包括：</w:t>
      </w:r>
    </w:p>
    <w:p>
      <w:pPr>
        <w:pStyle w:val="2"/>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（一）研究起草合规管理计划、基本制度；</w:t>
      </w:r>
    </w:p>
    <w:p>
      <w:pPr>
        <w:pStyle w:val="2"/>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（二）持续关注法律法规等规则变化，组织开展合规风险识别和预警，参与企业重大事项合规审查和风险应对；</w:t>
      </w:r>
    </w:p>
    <w:p>
      <w:pPr>
        <w:pStyle w:val="2"/>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（三）组织开展合规检查与考核，对各部门制定的具体合规管理制度和流程进行合规性评价，督促违规整改和持续改进；</w:t>
      </w:r>
    </w:p>
    <w:p>
      <w:pPr>
        <w:pStyle w:val="2"/>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（四）指导企业各部门、各级子公司和分支机构的合规管理工作；</w:t>
      </w:r>
    </w:p>
    <w:p>
      <w:pPr>
        <w:pStyle w:val="2"/>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（五）受理职责范围内的违规举报，组织或参与对违规事件的调查，并提出处理建议；</w:t>
      </w:r>
    </w:p>
    <w:p>
      <w:pPr>
        <w:pStyle w:val="2"/>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（六）组织或协助各部门开展合规培训；</w:t>
      </w:r>
    </w:p>
    <w:p>
      <w:pPr>
        <w:pStyle w:val="2"/>
        <w:widowControl/>
        <w:wordWrap w:val="0"/>
        <w:spacing w:before="10" w:after="10" w:line="360" w:lineRule="auto"/>
        <w:jc w:val="both"/>
        <w:rPr>
          <w:rFonts w:ascii="仿宋" w:hAnsi="仿宋" w:eastAsia="方正仿宋_GBK"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（七）合规委员会或合规管理负责人交办的其他工作。</w:t>
      </w:r>
    </w:p>
    <w:p>
      <w:pPr>
        <w:pStyle w:val="2"/>
        <w:widowControl/>
        <w:wordWrap w:val="0"/>
        <w:spacing w:before="10" w:after="10" w:line="360" w:lineRule="auto"/>
        <w:ind w:firstLine="560"/>
        <w:jc w:val="both"/>
        <w:rPr>
          <w:rFonts w:ascii="仿宋" w:hAnsi="仿宋" w:eastAsia="仿宋" w:cs="仿宋"/>
          <w:color w:val="000000" w:themeColor="text1"/>
          <w:sz w:val="32"/>
          <w:szCs w:val="32"/>
          <w:shd w:val="clear" w:color="auto" w:fill="FFFFFF"/>
          <w14:textFill>
            <w14:solidFill>
              <w14:schemeClr w14:val="tx1"/>
            </w14:solidFill>
          </w14:textFill>
        </w:rPr>
      </w:pPr>
      <w:r>
        <w:rPr>
          <w:rStyle w:val="5"/>
          <w:rFonts w:hint="eastAsia" w:ascii="仿宋" w:hAnsi="仿宋" w:eastAsia="仿宋" w:cs="仿宋"/>
          <w:color w:val="000000" w:themeColor="text1"/>
          <w:sz w:val="32"/>
          <w:szCs w:val="32"/>
          <w:shd w:val="clear" w:color="auto" w:fill="FFFFFF"/>
          <w14:textFill>
            <w14:solidFill>
              <w14:schemeClr w14:val="tx1"/>
            </w14:solidFill>
          </w14:textFill>
        </w:rPr>
        <w:t>第十三条</w:t>
      </w:r>
      <w:r>
        <w:rPr>
          <w:rStyle w:val="5"/>
          <w:rFonts w:ascii="仿宋" w:hAnsi="仿宋" w:eastAsia="仿宋" w:cs="仿宋"/>
          <w:color w:val="000000" w:themeColor="text1"/>
          <w:sz w:val="32"/>
          <w:szCs w:val="32"/>
          <w:shd w:val="clear" w:color="auto" w:fill="FFFFFF"/>
          <w14:textFill>
            <w14:solidFill>
              <w14:schemeClr w14:val="tx1"/>
            </w14:solidFill>
          </w14:textFill>
        </w:rPr>
        <w:t xml:space="preserve"> </w:t>
      </w:r>
      <w:r>
        <w:rPr>
          <w:rFonts w:hint="eastAsia" w:ascii="仿宋" w:hAnsi="仿宋" w:eastAsia="仿宋" w:cs="仿宋"/>
          <w:color w:val="000000" w:themeColor="text1"/>
          <w:sz w:val="32"/>
          <w:szCs w:val="32"/>
          <w:shd w:val="clear" w:color="auto" w:fill="FFFFFF"/>
          <w14:textFill>
            <w14:solidFill>
              <w14:schemeClr w14:val="tx1"/>
            </w14:solidFill>
          </w14:textFill>
        </w:rPr>
        <w:t>省出资企业各职能部门、业务部门和分支机构为本领域日常合规管理工作责任部门，负责以下工作：</w:t>
      </w:r>
    </w:p>
    <w:p>
      <w:pPr>
        <w:pStyle w:val="2"/>
        <w:widowControl/>
        <w:wordWrap w:val="0"/>
        <w:spacing w:before="10" w:after="10" w:line="360" w:lineRule="auto"/>
        <w:ind w:firstLine="560"/>
        <w:jc w:val="both"/>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（一）按照合规要求完善业务管理制度和流程，制定本领域具体制度；</w:t>
      </w:r>
    </w:p>
    <w:p>
      <w:pPr>
        <w:pStyle w:val="2"/>
        <w:widowControl/>
        <w:wordWrap w:val="0"/>
        <w:spacing w:before="10" w:after="10" w:line="360" w:lineRule="auto"/>
        <w:ind w:firstLine="560"/>
        <w:jc w:val="both"/>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（二）主动开展合规风险识别和隐患排查，发布合规预警；</w:t>
      </w:r>
    </w:p>
    <w:p>
      <w:pPr>
        <w:pStyle w:val="2"/>
        <w:widowControl/>
        <w:wordWrap w:val="0"/>
        <w:spacing w:before="10" w:after="10" w:line="360" w:lineRule="auto"/>
        <w:ind w:firstLine="560"/>
        <w:jc w:val="both"/>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（三）主动进行日常合规管控，负责本领域范围内合规自查，向合规管理综合部门提供合规风险信息，配合合规管理综合部门开展合规风险监测和评估；</w:t>
      </w:r>
    </w:p>
    <w:p>
      <w:pPr>
        <w:pStyle w:val="2"/>
        <w:widowControl/>
        <w:wordWrap w:val="0"/>
        <w:spacing w:before="10" w:after="10" w:line="360" w:lineRule="auto"/>
        <w:ind w:firstLine="560"/>
        <w:jc w:val="both"/>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（四）组织本部门领域合规审查，及时向合规管理综合部门通报风险事项，妥善应对合规风险事件；</w:t>
      </w:r>
    </w:p>
    <w:p>
      <w:pPr>
        <w:pStyle w:val="2"/>
        <w:widowControl/>
        <w:wordWrap w:val="0"/>
        <w:spacing w:before="10" w:after="10" w:line="360" w:lineRule="auto"/>
        <w:ind w:firstLine="560"/>
        <w:jc w:val="both"/>
        <w:rPr>
          <w:rStyle w:val="5"/>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（五）做好本领域合规培训和商业伙伴合规调查等工作，组织或配合进行违规问题调查并及时整改。</w:t>
      </w:r>
    </w:p>
    <w:p>
      <w:pPr>
        <w:pStyle w:val="2"/>
        <w:widowControl/>
        <w:wordWrap w:val="0"/>
        <w:spacing w:before="10" w:after="10" w:line="360" w:lineRule="auto"/>
        <w:ind w:firstLine="560"/>
        <w:jc w:val="both"/>
        <w:rPr>
          <w:rStyle w:val="5"/>
          <w:rFonts w:ascii="仿宋" w:hAnsi="仿宋" w:eastAsia="仿宋" w:cs="仿宋"/>
          <w:b w:val="0"/>
          <w:color w:val="000000" w:themeColor="text1"/>
          <w:sz w:val="32"/>
          <w:szCs w:val="32"/>
          <w:shd w:val="clear" w:color="auto" w:fill="FFFFFF"/>
          <w14:textFill>
            <w14:solidFill>
              <w14:schemeClr w14:val="tx1"/>
            </w14:solidFill>
          </w14:textFill>
        </w:rPr>
      </w:pPr>
      <w:r>
        <w:rPr>
          <w:rStyle w:val="5"/>
          <w:rFonts w:hint="eastAsia" w:ascii="仿宋" w:hAnsi="仿宋" w:eastAsia="仿宋" w:cs="仿宋"/>
          <w:b w:val="0"/>
          <w:color w:val="000000" w:themeColor="text1"/>
          <w:sz w:val="32"/>
          <w:szCs w:val="32"/>
          <w:shd w:val="clear" w:color="auto" w:fill="FFFFFF"/>
          <w14:textFill>
            <w14:solidFill>
              <w14:schemeClr w14:val="tx1"/>
            </w14:solidFill>
          </w14:textFill>
        </w:rPr>
        <w:t>省出资企业各部门负责人为本部门职能领域合规管理第一责任人。</w:t>
      </w:r>
    </w:p>
    <w:p>
      <w:pPr>
        <w:pStyle w:val="2"/>
        <w:widowControl/>
        <w:wordWrap w:val="0"/>
        <w:spacing w:before="10" w:after="10" w:line="360" w:lineRule="auto"/>
        <w:ind w:firstLine="560"/>
        <w:jc w:val="both"/>
        <w:rPr>
          <w:rFonts w:ascii="仿宋" w:hAnsi="仿宋" w:eastAsia="仿宋" w:cs="仿宋"/>
          <w:color w:val="000000" w:themeColor="text1"/>
          <w:sz w:val="32"/>
          <w:szCs w:val="32"/>
          <w:shd w:val="clear" w:color="auto" w:fill="FFFFFF"/>
          <w14:textFill>
            <w14:solidFill>
              <w14:schemeClr w14:val="tx1"/>
            </w14:solidFill>
          </w14:textFill>
        </w:rPr>
      </w:pPr>
      <w:r>
        <w:rPr>
          <w:rStyle w:val="5"/>
          <w:rFonts w:hint="eastAsia" w:ascii="仿宋" w:hAnsi="仿宋" w:eastAsia="仿宋" w:cs="仿宋"/>
          <w:color w:val="000000" w:themeColor="text1"/>
          <w:sz w:val="32"/>
          <w:szCs w:val="32"/>
          <w:shd w:val="clear" w:color="auto" w:fill="FFFFFF"/>
          <w14:textFill>
            <w14:solidFill>
              <w14:schemeClr w14:val="tx1"/>
            </w14:solidFill>
          </w14:textFill>
        </w:rPr>
        <w:t>第十四条</w:t>
      </w:r>
      <w:r>
        <w:rPr>
          <w:rStyle w:val="5"/>
          <w:rFonts w:ascii="仿宋" w:hAnsi="仿宋" w:eastAsia="仿宋" w:cs="仿宋"/>
          <w:color w:val="000000" w:themeColor="text1"/>
          <w:sz w:val="32"/>
          <w:szCs w:val="32"/>
          <w:shd w:val="clear" w:color="auto" w:fill="FFFFFF"/>
          <w14:textFill>
            <w14:solidFill>
              <w14:schemeClr w14:val="tx1"/>
            </w14:solidFill>
          </w14:textFill>
        </w:rPr>
        <w:t xml:space="preserve"> </w:t>
      </w:r>
      <w:r>
        <w:rPr>
          <w:rFonts w:hint="eastAsia" w:ascii="仿宋" w:hAnsi="仿宋" w:eastAsia="仿宋" w:cs="仿宋"/>
          <w:color w:val="000000" w:themeColor="text1"/>
          <w:sz w:val="32"/>
          <w:szCs w:val="32"/>
          <w:shd w:val="clear" w:color="auto" w:fill="FFFFFF"/>
          <w14:textFill>
            <w14:solidFill>
              <w14:schemeClr w14:val="tx1"/>
            </w14:solidFill>
          </w14:textFill>
        </w:rPr>
        <w:t>除合规管理综合部门外，省出资企业各部门均应设立合规联络员或配备合规专员，全面参与合规管理；境外经营重要地区、重点项目应当明确合规管理机构或配备专职人员，切实防范合规风险。</w:t>
      </w:r>
    </w:p>
    <w:p>
      <w:pPr>
        <w:pStyle w:val="2"/>
        <w:widowControl/>
        <w:wordWrap w:val="0"/>
        <w:spacing w:before="10" w:after="10" w:line="360" w:lineRule="auto"/>
        <w:ind w:firstLine="560"/>
        <w:jc w:val="both"/>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合规联络员或合规专员应当具有与其履行职责相适应的资质、经验和专业知识，熟练掌握法律法规、监管规定、行业准则、企业内部管理制度等要求。</w:t>
      </w:r>
    </w:p>
    <w:p>
      <w:pPr>
        <w:pStyle w:val="2"/>
        <w:widowControl/>
        <w:wordWrap w:val="0"/>
        <w:spacing w:before="10" w:after="10" w:line="360" w:lineRule="auto"/>
        <w:ind w:firstLine="560"/>
        <w:jc w:val="both"/>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各部门合规联络员或合规专员直接向本部门负责人报告本部门有关合规工作，若需向合规委员会或合规管理综合部门报送相关资料则应当经各部门负责人审核确认。</w:t>
      </w:r>
    </w:p>
    <w:p>
      <w:pPr>
        <w:pStyle w:val="2"/>
        <w:widowControl/>
        <w:wordWrap w:val="0"/>
        <w:spacing w:before="10" w:after="10" w:line="360" w:lineRule="auto"/>
        <w:ind w:firstLine="560"/>
        <w:jc w:val="both"/>
        <w:rPr>
          <w:rFonts w:ascii="仿宋" w:hAnsi="仿宋" w:eastAsia="仿宋" w:cs="仿宋"/>
          <w:color w:val="000000" w:themeColor="text1"/>
          <w:sz w:val="32"/>
          <w:szCs w:val="32"/>
          <w14:textFill>
            <w14:solidFill>
              <w14:schemeClr w14:val="tx1"/>
            </w14:solidFill>
          </w14:textFill>
        </w:rPr>
      </w:pPr>
      <w:r>
        <w:rPr>
          <w:rStyle w:val="5"/>
          <w:rFonts w:ascii="仿宋" w:hAnsi="仿宋" w:eastAsia="仿宋" w:cs="仿宋"/>
          <w:color w:val="000000" w:themeColor="text1"/>
          <w:sz w:val="32"/>
          <w:szCs w:val="32"/>
          <w:shd w:val="clear" w:color="auto" w:fill="FFFFFF"/>
          <w14:textFill>
            <w14:solidFill>
              <w14:schemeClr w14:val="tx1"/>
            </w14:solidFill>
          </w14:textFill>
        </w:rPr>
        <w:t>第十</w:t>
      </w:r>
      <w:r>
        <w:rPr>
          <w:rStyle w:val="5"/>
          <w:rFonts w:hint="eastAsia" w:ascii="仿宋" w:hAnsi="仿宋" w:eastAsia="仿宋" w:cs="仿宋"/>
          <w:color w:val="000000" w:themeColor="text1"/>
          <w:sz w:val="32"/>
          <w:szCs w:val="32"/>
          <w:shd w:val="clear" w:color="auto" w:fill="FFFFFF"/>
          <w14:textFill>
            <w14:solidFill>
              <w14:schemeClr w14:val="tx1"/>
            </w14:solidFill>
          </w14:textFill>
        </w:rPr>
        <w:t>五</w:t>
      </w:r>
      <w:r>
        <w:rPr>
          <w:rStyle w:val="5"/>
          <w:rFonts w:ascii="仿宋" w:hAnsi="仿宋" w:eastAsia="仿宋" w:cs="仿宋"/>
          <w:color w:val="000000" w:themeColor="text1"/>
          <w:sz w:val="32"/>
          <w:szCs w:val="32"/>
          <w:shd w:val="clear" w:color="auto" w:fill="FFFFFF"/>
          <w14:textFill>
            <w14:solidFill>
              <w14:schemeClr w14:val="tx1"/>
            </w14:solidFill>
          </w14:textFill>
        </w:rPr>
        <w:t>条</w:t>
      </w:r>
      <w:r>
        <w:rPr>
          <w:rFonts w:ascii="Calibri" w:hAnsi="Calibri" w:eastAsia="仿宋" w:cs="Calibri"/>
          <w:color w:val="000000" w:themeColor="text1"/>
          <w:sz w:val="32"/>
          <w:szCs w:val="32"/>
          <w:shd w:val="clear" w:color="auto" w:fill="FFFFFF"/>
          <w14:textFill>
            <w14:solidFill>
              <w14:schemeClr w14:val="tx1"/>
            </w14:solidFill>
          </w14:textFill>
        </w:rPr>
        <w:t> </w:t>
      </w:r>
      <w:r>
        <w:rPr>
          <w:rFonts w:hint="eastAsia" w:ascii="仿宋" w:hAnsi="仿宋" w:eastAsia="仿宋" w:cs="仿宋"/>
          <w:color w:val="000000" w:themeColor="text1"/>
          <w:sz w:val="32"/>
          <w:szCs w:val="32"/>
          <w:shd w:val="clear" w:color="auto" w:fill="FFFFFF"/>
          <w14:textFill>
            <w14:solidFill>
              <w14:schemeClr w14:val="tx1"/>
            </w14:solidFill>
          </w14:textFill>
        </w:rPr>
        <w:t>省出资企业各级子企业发生</w:t>
      </w:r>
      <w:r>
        <w:rPr>
          <w:rFonts w:ascii="仿宋" w:hAnsi="仿宋" w:eastAsia="仿宋" w:cs="仿宋"/>
          <w:color w:val="000000" w:themeColor="text1"/>
          <w:sz w:val="32"/>
          <w:szCs w:val="32"/>
          <w:shd w:val="clear" w:color="auto" w:fill="FFFFFF"/>
          <w14:textFill>
            <w14:solidFill>
              <w14:schemeClr w14:val="tx1"/>
            </w14:solidFill>
          </w14:textFill>
        </w:rPr>
        <w:t>重大合规风险，</w:t>
      </w:r>
      <w:r>
        <w:rPr>
          <w:rFonts w:hint="eastAsia" w:ascii="仿宋" w:hAnsi="仿宋" w:eastAsia="仿宋" w:cs="仿宋"/>
          <w:color w:val="000000" w:themeColor="text1"/>
          <w:sz w:val="32"/>
          <w:szCs w:val="32"/>
          <w:shd w:val="clear" w:color="auto" w:fill="FFFFFF"/>
          <w14:textFill>
            <w14:solidFill>
              <w14:schemeClr w14:val="tx1"/>
            </w14:solidFill>
          </w14:textFill>
        </w:rPr>
        <w:t>其</w:t>
      </w:r>
      <w:r>
        <w:rPr>
          <w:rFonts w:ascii="仿宋" w:hAnsi="仿宋" w:eastAsia="仿宋" w:cs="仿宋"/>
          <w:color w:val="000000" w:themeColor="text1"/>
          <w:sz w:val="32"/>
          <w:szCs w:val="32"/>
          <w:shd w:val="clear" w:color="auto" w:fill="FFFFFF"/>
          <w14:textFill>
            <w14:solidFill>
              <w14:schemeClr w14:val="tx1"/>
            </w14:solidFill>
          </w14:textFill>
        </w:rPr>
        <w:t>合规管理</w:t>
      </w:r>
      <w:r>
        <w:rPr>
          <w:rFonts w:hint="eastAsia" w:ascii="仿宋" w:hAnsi="仿宋" w:eastAsia="仿宋" w:cs="仿宋"/>
          <w:color w:val="000000" w:themeColor="text1"/>
          <w:sz w:val="32"/>
          <w:szCs w:val="32"/>
          <w:shd w:val="clear" w:color="auto" w:fill="FFFFFF"/>
          <w14:textFill>
            <w14:solidFill>
              <w14:schemeClr w14:val="tx1"/>
            </w14:solidFill>
          </w14:textFill>
        </w:rPr>
        <w:t>责任</w:t>
      </w:r>
      <w:r>
        <w:rPr>
          <w:rFonts w:ascii="仿宋" w:hAnsi="仿宋" w:eastAsia="仿宋" w:cs="仿宋"/>
          <w:color w:val="000000" w:themeColor="text1"/>
          <w:sz w:val="32"/>
          <w:szCs w:val="32"/>
          <w:shd w:val="clear" w:color="auto" w:fill="FFFFFF"/>
          <w14:textFill>
            <w14:solidFill>
              <w14:schemeClr w14:val="tx1"/>
            </w14:solidFill>
          </w14:textFill>
        </w:rPr>
        <w:t>部门除及时向本级企业合规</w:t>
      </w:r>
      <w:r>
        <w:rPr>
          <w:rFonts w:hint="eastAsia" w:ascii="仿宋" w:hAnsi="仿宋" w:eastAsia="仿宋" w:cs="仿宋"/>
          <w:color w:val="000000" w:themeColor="text1"/>
          <w:sz w:val="32"/>
          <w:szCs w:val="32"/>
          <w:shd w:val="clear" w:color="auto" w:fill="FFFFFF"/>
          <w14:textFill>
            <w14:solidFill>
              <w14:schemeClr w14:val="tx1"/>
            </w14:solidFill>
          </w14:textFill>
        </w:rPr>
        <w:t>管理负责人</w:t>
      </w:r>
      <w:r>
        <w:rPr>
          <w:rFonts w:ascii="仿宋" w:hAnsi="仿宋" w:eastAsia="仿宋" w:cs="仿宋"/>
          <w:color w:val="000000" w:themeColor="text1"/>
          <w:sz w:val="32"/>
          <w:szCs w:val="32"/>
          <w:shd w:val="clear" w:color="auto" w:fill="FFFFFF"/>
          <w14:textFill>
            <w14:solidFill>
              <w14:schemeClr w14:val="tx1"/>
            </w14:solidFill>
          </w14:textFill>
        </w:rPr>
        <w:t>报告外，还须</w:t>
      </w:r>
      <w:r>
        <w:rPr>
          <w:rFonts w:hint="eastAsia" w:ascii="仿宋" w:hAnsi="仿宋" w:eastAsia="仿宋" w:cs="仿宋"/>
          <w:color w:val="000000" w:themeColor="text1"/>
          <w:sz w:val="32"/>
          <w:szCs w:val="32"/>
          <w:shd w:val="clear" w:color="auto" w:fill="FFFFFF"/>
          <w14:textFill>
            <w14:solidFill>
              <w14:schemeClr w14:val="tx1"/>
            </w14:solidFill>
          </w14:textFill>
        </w:rPr>
        <w:t>逐级报告至</w:t>
      </w:r>
      <w:r>
        <w:rPr>
          <w:rFonts w:ascii="仿宋" w:hAnsi="仿宋" w:eastAsia="仿宋" w:cs="仿宋"/>
          <w:color w:val="000000" w:themeColor="text1"/>
          <w:sz w:val="32"/>
          <w:szCs w:val="32"/>
          <w:shd w:val="clear" w:color="auto" w:fill="FFFFFF"/>
          <w14:textFill>
            <w14:solidFill>
              <w14:schemeClr w14:val="tx1"/>
            </w14:solidFill>
          </w14:textFill>
        </w:rPr>
        <w:t>集团公司合规管理</w:t>
      </w:r>
      <w:r>
        <w:rPr>
          <w:rFonts w:hint="eastAsia" w:ascii="仿宋" w:hAnsi="仿宋" w:eastAsia="仿宋" w:cs="仿宋"/>
          <w:color w:val="000000" w:themeColor="text1"/>
          <w:sz w:val="32"/>
          <w:szCs w:val="32"/>
          <w:shd w:val="clear" w:color="auto" w:fill="FFFFFF"/>
          <w14:textFill>
            <w14:solidFill>
              <w14:schemeClr w14:val="tx1"/>
            </w14:solidFill>
          </w14:textFill>
        </w:rPr>
        <w:t>综合</w:t>
      </w:r>
      <w:r>
        <w:rPr>
          <w:rFonts w:ascii="仿宋" w:hAnsi="仿宋" w:eastAsia="仿宋" w:cs="仿宋"/>
          <w:color w:val="000000" w:themeColor="text1"/>
          <w:sz w:val="32"/>
          <w:szCs w:val="32"/>
          <w:shd w:val="clear" w:color="auto" w:fill="FFFFFF"/>
          <w14:textFill>
            <w14:solidFill>
              <w14:schemeClr w14:val="tx1"/>
            </w14:solidFill>
          </w14:textFill>
        </w:rPr>
        <w:t>部门。</w:t>
      </w:r>
    </w:p>
    <w:p>
      <w:pPr>
        <w:pStyle w:val="2"/>
        <w:widowControl/>
        <w:wordWrap w:val="0"/>
        <w:spacing w:before="10" w:after="10" w:line="360" w:lineRule="auto"/>
        <w:rPr>
          <w:rFonts w:ascii="仿宋" w:hAnsi="仿宋" w:eastAsia="仿宋" w:cs="仿宋"/>
          <w:color w:val="000000" w:themeColor="text1"/>
          <w:sz w:val="32"/>
          <w:szCs w:val="32"/>
          <w14:textFill>
            <w14:solidFill>
              <w14:schemeClr w14:val="tx1"/>
            </w14:solidFill>
          </w14:textFill>
        </w:rPr>
      </w:pPr>
    </w:p>
    <w:p>
      <w:pPr>
        <w:pStyle w:val="2"/>
        <w:widowControl/>
        <w:wordWrap w:val="0"/>
        <w:spacing w:before="10" w:after="10" w:line="360" w:lineRule="auto"/>
        <w:jc w:val="center"/>
        <w:rPr>
          <w:rFonts w:ascii="仿宋" w:hAnsi="仿宋" w:eastAsia="仿宋" w:cs="仿宋"/>
          <w:color w:val="000000" w:themeColor="text1"/>
          <w:sz w:val="32"/>
          <w:szCs w:val="32"/>
          <w14:textFill>
            <w14:solidFill>
              <w14:schemeClr w14:val="tx1"/>
            </w14:solidFill>
          </w14:textFill>
        </w:rPr>
      </w:pPr>
      <w:r>
        <w:rPr>
          <w:rStyle w:val="5"/>
          <w:rFonts w:hint="eastAsia" w:ascii="仿宋" w:hAnsi="仿宋" w:eastAsia="仿宋" w:cs="仿宋"/>
          <w:color w:val="000000" w:themeColor="text1"/>
          <w:sz w:val="32"/>
          <w:szCs w:val="32"/>
          <w:shd w:val="clear" w:color="auto" w:fill="FFFFFF"/>
          <w14:textFill>
            <w14:solidFill>
              <w14:schemeClr w14:val="tx1"/>
            </w14:solidFill>
          </w14:textFill>
        </w:rPr>
        <w:t>第三章</w:t>
      </w:r>
      <w:r>
        <w:rPr>
          <w:rStyle w:val="5"/>
          <w:rFonts w:ascii="仿宋" w:hAnsi="仿宋" w:eastAsia="仿宋" w:cs="仿宋"/>
          <w:color w:val="000000" w:themeColor="text1"/>
          <w:sz w:val="32"/>
          <w:szCs w:val="32"/>
          <w:shd w:val="clear" w:color="auto" w:fill="FFFFFF"/>
          <w14:textFill>
            <w14:solidFill>
              <w14:schemeClr w14:val="tx1"/>
            </w14:solidFill>
          </w14:textFill>
        </w:rPr>
        <w:t xml:space="preserve"> </w:t>
      </w:r>
      <w:r>
        <w:rPr>
          <w:rStyle w:val="5"/>
          <w:rFonts w:ascii="Calibri" w:hAnsi="Calibri" w:eastAsia="仿宋" w:cs="Calibri"/>
          <w:color w:val="000000" w:themeColor="text1"/>
          <w:sz w:val="32"/>
          <w:szCs w:val="32"/>
          <w:shd w:val="clear" w:color="auto" w:fill="FFFFFF"/>
          <w14:textFill>
            <w14:solidFill>
              <w14:schemeClr w14:val="tx1"/>
            </w14:solidFill>
          </w14:textFill>
        </w:rPr>
        <w:t>  </w:t>
      </w:r>
      <w:r>
        <w:rPr>
          <w:rStyle w:val="5"/>
          <w:rFonts w:hint="eastAsia" w:ascii="仿宋" w:hAnsi="仿宋" w:eastAsia="仿宋" w:cs="仿宋"/>
          <w:color w:val="000000" w:themeColor="text1"/>
          <w:sz w:val="32"/>
          <w:szCs w:val="32"/>
          <w:shd w:val="clear" w:color="auto" w:fill="FFFFFF"/>
          <w14:textFill>
            <w14:solidFill>
              <w14:schemeClr w14:val="tx1"/>
            </w14:solidFill>
          </w14:textFill>
        </w:rPr>
        <w:t>合规管理重点</w:t>
      </w:r>
    </w:p>
    <w:p>
      <w:pPr>
        <w:pStyle w:val="2"/>
        <w:widowControl/>
        <w:wordWrap w:val="0"/>
        <w:spacing w:before="10" w:after="10" w:line="360" w:lineRule="auto"/>
        <w:rPr>
          <w:rFonts w:ascii="仿宋" w:hAnsi="仿宋" w:eastAsia="仿宋" w:cs="仿宋"/>
          <w:color w:val="000000" w:themeColor="text1"/>
          <w:sz w:val="32"/>
          <w:szCs w:val="32"/>
          <w14:textFill>
            <w14:solidFill>
              <w14:schemeClr w14:val="tx1"/>
            </w14:solidFill>
          </w14:textFill>
        </w:rPr>
      </w:pPr>
    </w:p>
    <w:p>
      <w:pPr>
        <w:pStyle w:val="2"/>
        <w:widowControl/>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w:t>
      </w:r>
      <w:r>
        <w:rPr>
          <w:rStyle w:val="5"/>
          <w:rFonts w:hint="eastAsia" w:ascii="仿宋" w:hAnsi="仿宋" w:eastAsia="仿宋" w:cs="仿宋"/>
          <w:color w:val="000000" w:themeColor="text1"/>
          <w:sz w:val="32"/>
          <w:szCs w:val="32"/>
          <w:shd w:val="clear" w:color="auto" w:fill="FFFFFF"/>
          <w14:textFill>
            <w14:solidFill>
              <w14:schemeClr w14:val="tx1"/>
            </w14:solidFill>
          </w14:textFill>
        </w:rPr>
        <w:t>第十六条</w:t>
      </w:r>
      <w:r>
        <w:rPr>
          <w:rFonts w:ascii="Calibri" w:hAnsi="Calibri" w:eastAsia="仿宋" w:cs="Calibri"/>
          <w:color w:val="000000" w:themeColor="text1"/>
          <w:sz w:val="32"/>
          <w:szCs w:val="32"/>
          <w:shd w:val="clear" w:color="auto" w:fill="FFFFFF"/>
          <w14:textFill>
            <w14:solidFill>
              <w14:schemeClr w14:val="tx1"/>
            </w14:solidFill>
          </w14:textFill>
        </w:rPr>
        <w:t> </w:t>
      </w:r>
      <w:r>
        <w:rPr>
          <w:rFonts w:hint="eastAsia" w:ascii="仿宋" w:hAnsi="仿宋" w:eastAsia="仿宋" w:cs="仿宋"/>
          <w:color w:val="000000" w:themeColor="text1"/>
          <w:sz w:val="32"/>
          <w:szCs w:val="32"/>
          <w:shd w:val="clear" w:color="auto" w:fill="FFFFFF"/>
          <w14:textFill>
            <w14:solidFill>
              <w14:schemeClr w14:val="tx1"/>
            </w14:solidFill>
          </w14:textFill>
        </w:rPr>
        <w:t>省出资企业应当根据外部环境变化，结合自身实际，在全面推进合规管理的基础上，突出重点领域、重点环节和重点人员，切实防范合规风险。</w:t>
      </w:r>
    </w:p>
    <w:p>
      <w:pPr>
        <w:pStyle w:val="2"/>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w:t>
      </w:r>
      <w:r>
        <w:rPr>
          <w:rStyle w:val="5"/>
          <w:rFonts w:hint="eastAsia" w:ascii="仿宋" w:hAnsi="仿宋" w:eastAsia="仿宋" w:cs="仿宋"/>
          <w:color w:val="000000" w:themeColor="text1"/>
          <w:sz w:val="32"/>
          <w:szCs w:val="32"/>
          <w:shd w:val="clear" w:color="auto" w:fill="FFFFFF"/>
          <w14:textFill>
            <w14:solidFill>
              <w14:schemeClr w14:val="tx1"/>
            </w14:solidFill>
          </w14:textFill>
        </w:rPr>
        <w:t>第十七条</w:t>
      </w:r>
      <w:r>
        <w:rPr>
          <w:rFonts w:ascii="Calibri" w:hAnsi="Calibri" w:eastAsia="仿宋" w:cs="Calibri"/>
          <w:color w:val="000000" w:themeColor="text1"/>
          <w:sz w:val="32"/>
          <w:szCs w:val="32"/>
          <w:shd w:val="clear" w:color="auto" w:fill="FFFFFF"/>
          <w14:textFill>
            <w14:solidFill>
              <w14:schemeClr w14:val="tx1"/>
            </w14:solidFill>
          </w14:textFill>
        </w:rPr>
        <w:t> </w:t>
      </w:r>
      <w:r>
        <w:rPr>
          <w:rFonts w:hint="eastAsia" w:ascii="仿宋" w:hAnsi="仿宋" w:eastAsia="仿宋" w:cs="仿宋"/>
          <w:color w:val="000000" w:themeColor="text1"/>
          <w:sz w:val="32"/>
          <w:szCs w:val="32"/>
          <w:shd w:val="clear" w:color="auto" w:fill="FFFFFF"/>
          <w14:textFill>
            <w14:solidFill>
              <w14:schemeClr w14:val="tx1"/>
            </w14:solidFill>
          </w14:textFill>
        </w:rPr>
        <w:t>省出资企业应结合本企业实际加强对以下重点领域的合规管理：</w:t>
      </w:r>
    </w:p>
    <w:p>
      <w:pPr>
        <w:pStyle w:val="2"/>
        <w:widowControl/>
        <w:wordWrap w:val="0"/>
        <w:spacing w:before="10" w:after="10" w:line="360" w:lineRule="auto"/>
        <w:ind w:firstLine="560"/>
        <w:jc w:val="both"/>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（一）公司治理。全面落实“三重一大”决策制度，强化制度文件的合规审查，提升决策有效性，保障党委会、董事会、监事会、经理层等依据法律法规正确履职，实现党的领导与公司治理有效融合。</w:t>
      </w:r>
    </w:p>
    <w:p>
      <w:pPr>
        <w:pStyle w:val="2"/>
        <w:widowControl/>
        <w:spacing w:before="10" w:after="10" w:line="360" w:lineRule="auto"/>
        <w:ind w:firstLine="560"/>
        <w:jc w:val="both"/>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（二）合同管理。树立审慎签约、诚信履约的合规文化，加强对合同签订内容合法性、程序正确性等方面的合规审查。落实合同承办、印章、授权部门主体合规责任，建立健全合同执行评价制度。</w:t>
      </w:r>
    </w:p>
    <w:p>
      <w:pPr>
        <w:pStyle w:val="2"/>
        <w:widowControl/>
        <w:wordWrap w:val="0"/>
        <w:spacing w:before="10" w:after="10" w:line="360" w:lineRule="auto"/>
        <w:ind w:firstLine="560"/>
        <w:jc w:val="both"/>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（三）市场交易。完善交易管理制度，严格履行决策批准程序，建立健全自律诚信体系，规范关联交易、资产租赁、招投标等活动。</w:t>
      </w:r>
    </w:p>
    <w:p>
      <w:pPr>
        <w:pStyle w:val="2"/>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（四）投融资及担保管理。严格执行省出资企业投融资及担保监管相关规章制度，建立健全事前、事中、事后管理工作体系，防止违规投融资及担保行为，强化违规投融资及担保责任追究。</w:t>
      </w:r>
    </w:p>
    <w:p>
      <w:pPr>
        <w:pStyle w:val="2"/>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（五）工程建设。建立健全工程建设项目合规管理工作体系，强化对工程项目质量、进度、安全、建设资金等环节全过程合规管控，规范履行施工、监理、设计合同，保障建设项目在依法合规的基础上顺利实施。</w:t>
      </w:r>
    </w:p>
    <w:p>
      <w:pPr>
        <w:pStyle w:val="2"/>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（六）劳动用工。严格遵守劳动法律法规，健全完善劳动合同管理制度，规范劳动合同签订、履行、变更和解除，切实合法合规用工。</w:t>
      </w:r>
    </w:p>
    <w:p>
      <w:pPr>
        <w:pStyle w:val="2"/>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（七）知识产权。及时申请注册知识产权成果，规范实施许可和转让，加强对商业秘密和商标的保护，依法规范使用他人知识产权，防止侵权行为。</w:t>
      </w:r>
    </w:p>
    <w:p>
      <w:pPr>
        <w:pStyle w:val="2"/>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（八）礼品与商务接待。禁止超规格、超标准接受或送出礼品以及超标准接受或组织商务宴请，维护正常商业关系与市场秩序。</w:t>
      </w:r>
    </w:p>
    <w:p>
      <w:pPr>
        <w:pStyle w:val="2"/>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（九）商业伙伴。对重要商业伙伴开展合规调查，通过签订合规协议、要求作出合规承诺等方式促进商业伙伴行为合规，依法合规采集、处理、保存和使用商业伙伴保密信息，保护商业伙伴保密信息。</w:t>
      </w:r>
    </w:p>
    <w:p>
      <w:pPr>
        <w:pStyle w:val="2"/>
        <w:widowControl/>
        <w:wordWrap w:val="0"/>
        <w:spacing w:before="10" w:after="10" w:line="360" w:lineRule="auto"/>
        <w:jc w:val="both"/>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（十）社会捐赠与赞助。严格审批程序，防止因不当捐赠与赞助导致的社会负面评价与不良效果。</w:t>
      </w:r>
    </w:p>
    <w:p>
      <w:pPr>
        <w:pStyle w:val="2"/>
        <w:widowControl/>
        <w:wordWrap w:val="0"/>
        <w:spacing w:before="10" w:after="10" w:line="360" w:lineRule="auto"/>
        <w:ind w:firstLine="640" w:firstLineChars="200"/>
        <w:jc w:val="both"/>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（十一）其他需要重点关注的领域。</w:t>
      </w:r>
    </w:p>
    <w:p>
      <w:pPr>
        <w:pStyle w:val="2"/>
        <w:widowControl/>
        <w:spacing w:before="10" w:after="10" w:line="360" w:lineRule="auto"/>
        <w:ind w:firstLine="640" w:firstLineChars="200"/>
        <w:jc w:val="both"/>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省出资企业应结合本企业实际明确相关重点领域合规管理的责任部门。</w:t>
      </w:r>
    </w:p>
    <w:p>
      <w:pPr>
        <w:pStyle w:val="2"/>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w:t>
      </w:r>
      <w:r>
        <w:rPr>
          <w:rStyle w:val="5"/>
          <w:rFonts w:hint="eastAsia" w:ascii="仿宋" w:hAnsi="仿宋" w:eastAsia="仿宋" w:cs="仿宋"/>
          <w:color w:val="000000" w:themeColor="text1"/>
          <w:sz w:val="32"/>
          <w:szCs w:val="32"/>
          <w:shd w:val="clear" w:color="auto" w:fill="FFFFFF"/>
          <w14:textFill>
            <w14:solidFill>
              <w14:schemeClr w14:val="tx1"/>
            </w14:solidFill>
          </w14:textFill>
        </w:rPr>
        <w:t>第十八条</w:t>
      </w:r>
      <w:r>
        <w:rPr>
          <w:rFonts w:ascii="Calibri" w:hAnsi="Calibri" w:eastAsia="仿宋" w:cs="Calibri"/>
          <w:color w:val="000000" w:themeColor="text1"/>
          <w:sz w:val="32"/>
          <w:szCs w:val="32"/>
          <w:shd w:val="clear" w:color="auto" w:fill="FFFFFF"/>
          <w14:textFill>
            <w14:solidFill>
              <w14:schemeClr w14:val="tx1"/>
            </w14:solidFill>
          </w14:textFill>
        </w:rPr>
        <w:t> </w:t>
      </w:r>
      <w:r>
        <w:rPr>
          <w:rFonts w:hint="eastAsia" w:ascii="仿宋" w:hAnsi="仿宋" w:eastAsia="仿宋" w:cs="仿宋"/>
          <w:color w:val="000000" w:themeColor="text1"/>
          <w:sz w:val="32"/>
          <w:szCs w:val="32"/>
          <w:shd w:val="clear" w:color="auto" w:fill="FFFFFF"/>
          <w14:textFill>
            <w14:solidFill>
              <w14:schemeClr w14:val="tx1"/>
            </w14:solidFill>
          </w14:textFill>
        </w:rPr>
        <w:t>加强对以下重点环节的合规管理：</w:t>
      </w:r>
    </w:p>
    <w:p>
      <w:pPr>
        <w:pStyle w:val="2"/>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（一）制度制定环节。强化对规章制度、改革方案等重要文件的合规审查，确保符合法律法规、监管规定等要求。</w:t>
      </w:r>
    </w:p>
    <w:p>
      <w:pPr>
        <w:pStyle w:val="2"/>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（二）经营决策环节。严格落实“三重一大”决策制度，细化各层级决策事项和权限，加强对决策事项的合规论证把关，保障决策依法合规。</w:t>
      </w:r>
    </w:p>
    <w:p>
      <w:pPr>
        <w:pStyle w:val="2"/>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（三）运营管理环节。严格执行合规制度，加强对重点流程的监督检查，确保经营过程中照章办事、按章操作。</w:t>
      </w:r>
    </w:p>
    <w:p>
      <w:pPr>
        <w:pStyle w:val="2"/>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（四）其他需要重点关注的环节。</w:t>
      </w:r>
    </w:p>
    <w:p>
      <w:pPr>
        <w:pStyle w:val="2"/>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w:t>
      </w:r>
      <w:r>
        <w:rPr>
          <w:rStyle w:val="5"/>
          <w:rFonts w:hint="eastAsia" w:ascii="仿宋" w:hAnsi="仿宋" w:eastAsia="仿宋" w:cs="仿宋"/>
          <w:color w:val="000000" w:themeColor="text1"/>
          <w:sz w:val="32"/>
          <w:szCs w:val="32"/>
          <w:shd w:val="clear" w:color="auto" w:fill="FFFFFF"/>
          <w14:textFill>
            <w14:solidFill>
              <w14:schemeClr w14:val="tx1"/>
            </w14:solidFill>
          </w14:textFill>
        </w:rPr>
        <w:t>第十九条</w:t>
      </w:r>
      <w:r>
        <w:rPr>
          <w:rFonts w:ascii="Calibri" w:hAnsi="Calibri" w:eastAsia="仿宋" w:cs="Calibri"/>
          <w:color w:val="000000" w:themeColor="text1"/>
          <w:sz w:val="32"/>
          <w:szCs w:val="32"/>
          <w:shd w:val="clear" w:color="auto" w:fill="FFFFFF"/>
          <w14:textFill>
            <w14:solidFill>
              <w14:schemeClr w14:val="tx1"/>
            </w14:solidFill>
          </w14:textFill>
        </w:rPr>
        <w:t> </w:t>
      </w:r>
      <w:r>
        <w:rPr>
          <w:rFonts w:hint="eastAsia" w:ascii="仿宋" w:hAnsi="仿宋" w:eastAsia="仿宋" w:cs="仿宋"/>
          <w:color w:val="000000" w:themeColor="text1"/>
          <w:sz w:val="32"/>
          <w:szCs w:val="32"/>
          <w:shd w:val="clear" w:color="auto" w:fill="FFFFFF"/>
          <w14:textFill>
            <w14:solidFill>
              <w14:schemeClr w14:val="tx1"/>
            </w14:solidFill>
          </w14:textFill>
        </w:rPr>
        <w:t>加强对以下重点人员的合规管理：</w:t>
      </w:r>
    </w:p>
    <w:p>
      <w:pPr>
        <w:pStyle w:val="2"/>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（一）管理人员。促进管理人员切实提高合规意识，带头依法依规开展经营管理活动，认真履行承担的合规管理职责，强化考核与监督问责。</w:t>
      </w:r>
    </w:p>
    <w:p>
      <w:pPr>
        <w:pStyle w:val="2"/>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（二）重要风险岗位人员。根据合规风险评估情况明确界定重要风险岗位，有针对性加大培训力度，使重要风险岗位人员熟悉并严格遵守业务涉及的各项规定，加强监督检查和违规行为追责。</w:t>
      </w:r>
    </w:p>
    <w:p>
      <w:pPr>
        <w:pStyle w:val="2"/>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（三）境外人员。将合规培训作为境外人员任职、上岗的必备条件，确保遵守我国和所在国或地区法律法规等相关规定。</w:t>
      </w:r>
    </w:p>
    <w:p>
      <w:pPr>
        <w:pStyle w:val="2"/>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（四）其他需要重点关注的人员。</w:t>
      </w:r>
    </w:p>
    <w:p>
      <w:pPr>
        <w:pStyle w:val="2"/>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w:t>
      </w:r>
      <w:r>
        <w:rPr>
          <w:rStyle w:val="5"/>
          <w:rFonts w:hint="eastAsia" w:ascii="仿宋" w:hAnsi="仿宋" w:eastAsia="仿宋" w:cs="仿宋"/>
          <w:color w:val="000000" w:themeColor="text1"/>
          <w:sz w:val="32"/>
          <w:szCs w:val="32"/>
          <w:shd w:val="clear" w:color="auto" w:fill="FFFFFF"/>
          <w14:textFill>
            <w14:solidFill>
              <w14:schemeClr w14:val="tx1"/>
            </w14:solidFill>
          </w14:textFill>
        </w:rPr>
        <w:t>第二十条</w:t>
      </w:r>
      <w:r>
        <w:rPr>
          <w:rFonts w:ascii="Calibri" w:hAnsi="Calibri" w:eastAsia="仿宋" w:cs="Calibri"/>
          <w:color w:val="000000" w:themeColor="text1"/>
          <w:sz w:val="32"/>
          <w:szCs w:val="32"/>
          <w:shd w:val="clear" w:color="auto" w:fill="FFFFFF"/>
          <w14:textFill>
            <w14:solidFill>
              <w14:schemeClr w14:val="tx1"/>
            </w14:solidFill>
          </w14:textFill>
        </w:rPr>
        <w:t> </w:t>
      </w:r>
      <w:r>
        <w:rPr>
          <w:rFonts w:hint="eastAsia" w:ascii="仿宋" w:hAnsi="仿宋" w:eastAsia="仿宋" w:cs="仿宋"/>
          <w:color w:val="000000" w:themeColor="text1"/>
          <w:sz w:val="32"/>
          <w:szCs w:val="32"/>
          <w:shd w:val="clear" w:color="auto" w:fill="FFFFFF"/>
          <w14:textFill>
            <w14:solidFill>
              <w14:schemeClr w14:val="tx1"/>
            </w14:solidFill>
          </w14:textFill>
        </w:rPr>
        <w:t>强化境外投资经营行为的合规管理：</w:t>
      </w:r>
    </w:p>
    <w:p>
      <w:pPr>
        <w:pStyle w:val="2"/>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（一）深入研究投资所在国或地区法律法规、国际规则，全面掌握禁止性规定，明确境外投资经营行为的红线、底线。</w:t>
      </w:r>
    </w:p>
    <w:p>
      <w:pPr>
        <w:pStyle w:val="2"/>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（二）健全境外合规经营的制度、体系、流程，重视开展项目的合规论证和尽职调查，依法加强对境外机构的管控，规范境外机构经营管理行为。</w:t>
      </w:r>
    </w:p>
    <w:p>
      <w:pPr>
        <w:pStyle w:val="2"/>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（三）定期开展对境外投资经营行为合规风险评估，</w:t>
      </w:r>
      <w:r>
        <w:rPr>
          <w:rFonts w:ascii="仿宋" w:hAnsi="仿宋" w:eastAsia="仿宋" w:cs="仿宋"/>
          <w:color w:val="000000" w:themeColor="text1"/>
          <w:sz w:val="32"/>
          <w:szCs w:val="32"/>
          <w:shd w:val="clear" w:color="auto" w:fill="FFFFFF"/>
          <w14:textFill>
            <w14:solidFill>
              <w14:schemeClr w14:val="tx1"/>
            </w14:solidFill>
          </w14:textFill>
        </w:rPr>
        <w:t>重点关注投资保护、市场准入、外汇与贸易管制、环境保护、税收劳工等高风险领域以及重大决策、重要合同、大额资金管控和境外子公司公司治理等方面存在的合规风险，认真制定防控措施。遇有重大风险事件，要妥善处理、及时报告，防止扩大蔓延</w:t>
      </w:r>
      <w:r>
        <w:rPr>
          <w:rFonts w:hint="eastAsia" w:ascii="仿宋" w:hAnsi="仿宋" w:eastAsia="仿宋" w:cs="仿宋"/>
          <w:color w:val="000000" w:themeColor="text1"/>
          <w:sz w:val="32"/>
          <w:szCs w:val="32"/>
          <w:shd w:val="clear" w:color="auto" w:fill="FFFFFF"/>
          <w14:textFill>
            <w14:solidFill>
              <w14:schemeClr w14:val="tx1"/>
            </w14:solidFill>
          </w14:textFill>
        </w:rPr>
        <w:t>。</w:t>
      </w:r>
    </w:p>
    <w:p>
      <w:pPr>
        <w:pStyle w:val="2"/>
        <w:widowControl/>
        <w:wordWrap w:val="0"/>
        <w:spacing w:before="10" w:after="10" w:line="360" w:lineRule="auto"/>
        <w:rPr>
          <w:rFonts w:ascii="仿宋" w:hAnsi="仿宋" w:eastAsia="仿宋" w:cs="仿宋"/>
          <w:color w:val="000000" w:themeColor="text1"/>
          <w:sz w:val="32"/>
          <w:szCs w:val="32"/>
          <w14:textFill>
            <w14:solidFill>
              <w14:schemeClr w14:val="tx1"/>
            </w14:solidFill>
          </w14:textFill>
        </w:rPr>
      </w:pPr>
    </w:p>
    <w:p>
      <w:pPr>
        <w:pStyle w:val="2"/>
        <w:widowControl/>
        <w:wordWrap w:val="0"/>
        <w:spacing w:before="10" w:after="10" w:line="360" w:lineRule="auto"/>
        <w:jc w:val="center"/>
        <w:rPr>
          <w:rFonts w:ascii="仿宋" w:hAnsi="仿宋" w:eastAsia="仿宋" w:cs="仿宋"/>
          <w:color w:val="000000" w:themeColor="text1"/>
          <w:sz w:val="32"/>
          <w:szCs w:val="32"/>
          <w14:textFill>
            <w14:solidFill>
              <w14:schemeClr w14:val="tx1"/>
            </w14:solidFill>
          </w14:textFill>
        </w:rPr>
      </w:pPr>
      <w:r>
        <w:rPr>
          <w:rStyle w:val="5"/>
          <w:rFonts w:hint="eastAsia" w:ascii="仿宋" w:hAnsi="仿宋" w:eastAsia="仿宋" w:cs="仿宋"/>
          <w:color w:val="000000" w:themeColor="text1"/>
          <w:sz w:val="32"/>
          <w:szCs w:val="32"/>
          <w:shd w:val="clear" w:color="auto" w:fill="FFFFFF"/>
          <w14:textFill>
            <w14:solidFill>
              <w14:schemeClr w14:val="tx1"/>
            </w14:solidFill>
          </w14:textFill>
        </w:rPr>
        <w:t>第四章</w:t>
      </w:r>
      <w:r>
        <w:rPr>
          <w:rStyle w:val="5"/>
          <w:rFonts w:ascii="仿宋" w:hAnsi="仿宋" w:eastAsia="仿宋" w:cs="仿宋"/>
          <w:color w:val="000000" w:themeColor="text1"/>
          <w:sz w:val="32"/>
          <w:szCs w:val="32"/>
          <w:shd w:val="clear" w:color="auto" w:fill="FFFFFF"/>
          <w14:textFill>
            <w14:solidFill>
              <w14:schemeClr w14:val="tx1"/>
            </w14:solidFill>
          </w14:textFill>
        </w:rPr>
        <w:t xml:space="preserve"> </w:t>
      </w:r>
      <w:r>
        <w:rPr>
          <w:rStyle w:val="5"/>
          <w:rFonts w:ascii="Calibri" w:hAnsi="Calibri" w:eastAsia="仿宋" w:cs="Calibri"/>
          <w:color w:val="000000" w:themeColor="text1"/>
          <w:sz w:val="32"/>
          <w:szCs w:val="32"/>
          <w:shd w:val="clear" w:color="auto" w:fill="FFFFFF"/>
          <w14:textFill>
            <w14:solidFill>
              <w14:schemeClr w14:val="tx1"/>
            </w14:solidFill>
          </w14:textFill>
        </w:rPr>
        <w:t>  </w:t>
      </w:r>
      <w:r>
        <w:rPr>
          <w:rStyle w:val="5"/>
          <w:rFonts w:hint="eastAsia" w:ascii="仿宋" w:hAnsi="仿宋" w:eastAsia="仿宋" w:cs="仿宋"/>
          <w:color w:val="000000" w:themeColor="text1"/>
          <w:sz w:val="32"/>
          <w:szCs w:val="32"/>
          <w:shd w:val="clear" w:color="auto" w:fill="FFFFFF"/>
          <w14:textFill>
            <w14:solidFill>
              <w14:schemeClr w14:val="tx1"/>
            </w14:solidFill>
          </w14:textFill>
        </w:rPr>
        <w:t>合规管理运行</w:t>
      </w:r>
    </w:p>
    <w:p>
      <w:pPr>
        <w:pStyle w:val="2"/>
        <w:widowControl/>
        <w:wordWrap w:val="0"/>
        <w:spacing w:before="10" w:after="10" w:line="360" w:lineRule="auto"/>
        <w:rPr>
          <w:rFonts w:ascii="仿宋" w:hAnsi="仿宋" w:eastAsia="仿宋" w:cs="仿宋"/>
          <w:color w:val="000000" w:themeColor="text1"/>
          <w:sz w:val="32"/>
          <w:szCs w:val="32"/>
          <w14:textFill>
            <w14:solidFill>
              <w14:schemeClr w14:val="tx1"/>
            </w14:solidFill>
          </w14:textFill>
        </w:rPr>
      </w:pPr>
    </w:p>
    <w:p>
      <w:pPr>
        <w:pStyle w:val="2"/>
        <w:widowControl/>
        <w:wordWrap w:val="0"/>
        <w:spacing w:before="10" w:after="10" w:line="360" w:lineRule="auto"/>
        <w:rPr>
          <w:rStyle w:val="5"/>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w:t>
      </w:r>
      <w:r>
        <w:rPr>
          <w:rStyle w:val="5"/>
          <w:rFonts w:hint="eastAsia" w:ascii="仿宋" w:hAnsi="仿宋" w:eastAsia="仿宋" w:cs="仿宋"/>
          <w:color w:val="000000" w:themeColor="text1"/>
          <w:sz w:val="32"/>
          <w:szCs w:val="32"/>
          <w:shd w:val="clear" w:color="auto" w:fill="FFFFFF"/>
          <w14:textFill>
            <w14:solidFill>
              <w14:schemeClr w14:val="tx1"/>
            </w14:solidFill>
          </w14:textFill>
        </w:rPr>
        <w:t>第二十一条</w:t>
      </w:r>
      <w:r>
        <w:rPr>
          <w:rFonts w:ascii="Calibri" w:hAnsi="Calibri" w:eastAsia="仿宋" w:cs="Calibri"/>
          <w:color w:val="000000" w:themeColor="text1"/>
          <w:sz w:val="32"/>
          <w:szCs w:val="32"/>
          <w:shd w:val="clear" w:color="auto" w:fill="FFFFFF"/>
          <w14:textFill>
            <w14:solidFill>
              <w14:schemeClr w14:val="tx1"/>
            </w14:solidFill>
          </w14:textFill>
        </w:rPr>
        <w:t> </w:t>
      </w:r>
      <w:r>
        <w:rPr>
          <w:rFonts w:hint="eastAsia" w:ascii="仿宋" w:hAnsi="仿宋" w:eastAsia="仿宋" w:cs="仿宋"/>
          <w:color w:val="000000" w:themeColor="text1"/>
          <w:sz w:val="32"/>
          <w:szCs w:val="32"/>
          <w:shd w:val="clear" w:color="auto" w:fill="FFFFFF"/>
          <w14:textFill>
            <w14:solidFill>
              <w14:schemeClr w14:val="tx1"/>
            </w14:solidFill>
          </w14:textFill>
        </w:rPr>
        <w:t>省出资企业应建立健全合规管理制度，制定全员普遍遵守的合规行为规范，组织部门针对重点领域制定专项合规管理制度，并根据法律法规变化和监管动态，及时将外部有关合规要求转化为内部规章制度。</w:t>
      </w:r>
    </w:p>
    <w:p>
      <w:pPr>
        <w:pStyle w:val="2"/>
        <w:widowControl/>
        <w:wordWrap w:val="0"/>
        <w:spacing w:before="10" w:after="10" w:line="360" w:lineRule="auto"/>
        <w:ind w:firstLine="560"/>
        <w:rPr>
          <w:rStyle w:val="5"/>
          <w:rFonts w:ascii="仿宋" w:hAnsi="仿宋" w:eastAsia="仿宋" w:cs="仿宋"/>
          <w:color w:val="000000" w:themeColor="text1"/>
          <w:sz w:val="32"/>
          <w:szCs w:val="32"/>
          <w:shd w:val="clear" w:color="auto" w:fill="FFFFFF"/>
          <w14:textFill>
            <w14:solidFill>
              <w14:schemeClr w14:val="tx1"/>
            </w14:solidFill>
          </w14:textFill>
        </w:rPr>
      </w:pPr>
      <w:r>
        <w:rPr>
          <w:rStyle w:val="5"/>
          <w:rFonts w:hint="eastAsia" w:ascii="仿宋" w:hAnsi="仿宋" w:eastAsia="仿宋" w:cs="仿宋"/>
          <w:color w:val="000000" w:themeColor="text1"/>
          <w:sz w:val="32"/>
          <w:szCs w:val="32"/>
          <w:shd w:val="clear" w:color="auto" w:fill="FFFFFF"/>
          <w14:textFill>
            <w14:solidFill>
              <w14:schemeClr w14:val="tx1"/>
            </w14:solidFill>
          </w14:textFill>
        </w:rPr>
        <w:t>第二十二条</w:t>
      </w:r>
      <w:r>
        <w:rPr>
          <w:rFonts w:ascii="仿宋" w:hAnsi="仿宋" w:eastAsia="仿宋" w:cs="仿宋"/>
          <w:color w:val="000000" w:themeColor="text1"/>
          <w:sz w:val="32"/>
          <w:szCs w:val="32"/>
          <w:shd w:val="clear" w:color="auto" w:fill="FFFFFF"/>
          <w14:textFill>
            <w14:solidFill>
              <w14:schemeClr w14:val="tx1"/>
            </w14:solidFill>
          </w14:textFill>
        </w:rPr>
        <w:t xml:space="preserve"> 省出资企业</w:t>
      </w:r>
      <w:r>
        <w:rPr>
          <w:rFonts w:hint="eastAsia" w:ascii="仿宋" w:hAnsi="仿宋" w:eastAsia="仿宋" w:cs="仿宋"/>
          <w:color w:val="000000" w:themeColor="text1"/>
          <w:sz w:val="32"/>
          <w:szCs w:val="32"/>
          <w:shd w:val="clear" w:color="auto" w:fill="FFFFFF"/>
          <w14:textFill>
            <w14:solidFill>
              <w14:schemeClr w14:val="tx1"/>
            </w14:solidFill>
          </w14:textFill>
        </w:rPr>
        <w:t>应建立健全合规审查机制，将合规审查作为规章制度制定、重大事项决策、重要合同签订、重大项目运营等经营管理行为的必经程序。重大决策未经合规审查不得提交决策机构审议并组织实施。</w:t>
      </w:r>
    </w:p>
    <w:p>
      <w:pPr>
        <w:pStyle w:val="2"/>
        <w:widowControl/>
        <w:wordWrap w:val="0"/>
        <w:spacing w:before="10" w:after="10" w:line="360" w:lineRule="auto"/>
        <w:ind w:firstLine="560"/>
        <w:rPr>
          <w:rFonts w:ascii="仿宋" w:hAnsi="仿宋" w:eastAsia="仿宋" w:cs="仿宋"/>
          <w:color w:val="000000" w:themeColor="text1"/>
          <w:sz w:val="32"/>
          <w:szCs w:val="32"/>
          <w14:textFill>
            <w14:solidFill>
              <w14:schemeClr w14:val="tx1"/>
            </w14:solidFill>
          </w14:textFill>
        </w:rPr>
      </w:pPr>
      <w:r>
        <w:rPr>
          <w:rStyle w:val="5"/>
          <w:rFonts w:hint="eastAsia" w:ascii="仿宋" w:hAnsi="仿宋" w:eastAsia="仿宋" w:cs="仿宋"/>
          <w:color w:val="000000" w:themeColor="text1"/>
          <w:sz w:val="32"/>
          <w:szCs w:val="32"/>
          <w:shd w:val="clear" w:color="auto" w:fill="FFFFFF"/>
          <w14:textFill>
            <w14:solidFill>
              <w14:schemeClr w14:val="tx1"/>
            </w14:solidFill>
          </w14:textFill>
        </w:rPr>
        <w:t>第二十三条</w:t>
      </w:r>
      <w:r>
        <w:rPr>
          <w:rFonts w:ascii="Calibri" w:hAnsi="Calibri" w:eastAsia="仿宋" w:cs="Calibri"/>
          <w:color w:val="000000" w:themeColor="text1"/>
          <w:sz w:val="32"/>
          <w:szCs w:val="32"/>
          <w:shd w:val="clear" w:color="auto" w:fill="FFFFFF"/>
          <w14:textFill>
            <w14:solidFill>
              <w14:schemeClr w14:val="tx1"/>
            </w14:solidFill>
          </w14:textFill>
        </w:rPr>
        <w:t> </w:t>
      </w:r>
      <w:r>
        <w:rPr>
          <w:rFonts w:hint="eastAsia" w:ascii="仿宋" w:hAnsi="仿宋" w:eastAsia="仿宋" w:cs="仿宋"/>
          <w:color w:val="000000" w:themeColor="text1"/>
          <w:sz w:val="32"/>
          <w:szCs w:val="32"/>
          <w:shd w:val="clear" w:color="auto" w:fill="FFFFFF"/>
          <w14:textFill>
            <w14:solidFill>
              <w14:schemeClr w14:val="tx1"/>
            </w14:solidFill>
          </w14:textFill>
        </w:rPr>
        <w:t>省出资企业应建立合规风险识别预警机制。合规管理综合部门应组织各部门定期梳理经营管理活动中存在的合规风险，对风险发生的可能性、影响程度、潜在后果等进行系统分析，对于典型性、普遍性和可能产生较严重后果的风险及时发布预警。</w:t>
      </w:r>
    </w:p>
    <w:p>
      <w:pPr>
        <w:pStyle w:val="2"/>
        <w:widowControl/>
        <w:wordWrap w:val="0"/>
        <w:spacing w:before="10" w:after="10"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w:t>
      </w:r>
      <w:r>
        <w:rPr>
          <w:rStyle w:val="5"/>
          <w:rFonts w:hint="eastAsia" w:ascii="仿宋" w:hAnsi="仿宋" w:eastAsia="仿宋" w:cs="仿宋"/>
          <w:color w:val="000000" w:themeColor="text1"/>
          <w:sz w:val="32"/>
          <w:szCs w:val="32"/>
          <w:shd w:val="clear" w:color="auto" w:fill="FFFFFF"/>
          <w14:textFill>
            <w14:solidFill>
              <w14:schemeClr w14:val="tx1"/>
            </w14:solidFill>
          </w14:textFill>
        </w:rPr>
        <w:t>第二十四条</w:t>
      </w:r>
      <w:r>
        <w:rPr>
          <w:rFonts w:ascii="Calibri" w:hAnsi="Calibri" w:eastAsia="仿宋" w:cs="Calibri"/>
          <w:color w:val="000000" w:themeColor="text1"/>
          <w:sz w:val="32"/>
          <w:szCs w:val="32"/>
          <w:shd w:val="clear" w:color="auto" w:fill="FFFFFF"/>
          <w14:textFill>
            <w14:solidFill>
              <w14:schemeClr w14:val="tx1"/>
            </w14:solidFill>
          </w14:textFill>
        </w:rPr>
        <w:t> </w:t>
      </w:r>
      <w:r>
        <w:rPr>
          <w:rFonts w:hint="eastAsia" w:ascii="仿宋" w:hAnsi="仿宋" w:eastAsia="仿宋" w:cs="仿宋"/>
          <w:color w:val="000000" w:themeColor="text1"/>
          <w:sz w:val="32"/>
          <w:szCs w:val="32"/>
          <w:shd w:val="clear" w:color="auto" w:fill="FFFFFF"/>
          <w14:textFill>
            <w14:solidFill>
              <w14:schemeClr w14:val="tx1"/>
            </w14:solidFill>
          </w14:textFill>
        </w:rPr>
        <w:t>省出资企业应建立合规联席会议机制，联席会议由合规管理负责人召集和主持，通过定期会议等形式研究、指导、协调、部署合规管理各项工作。</w:t>
      </w:r>
    </w:p>
    <w:p>
      <w:pPr>
        <w:pStyle w:val="2"/>
        <w:widowControl/>
        <w:wordWrap w:val="0"/>
        <w:spacing w:before="10" w:after="10" w:line="360" w:lineRule="auto"/>
        <w:ind w:firstLine="560"/>
        <w:rPr>
          <w:rFonts w:ascii="仿宋" w:hAnsi="仿宋" w:eastAsia="仿宋" w:cs="仿宋"/>
          <w:color w:val="000000" w:themeColor="text1"/>
          <w:sz w:val="32"/>
          <w:szCs w:val="32"/>
          <w:shd w:val="clear" w:color="auto" w:fill="FFFFFF"/>
          <w14:textFill>
            <w14:solidFill>
              <w14:schemeClr w14:val="tx1"/>
            </w14:solidFill>
          </w14:textFill>
        </w:rPr>
      </w:pPr>
      <w:r>
        <w:rPr>
          <w:rStyle w:val="5"/>
          <w:rFonts w:hint="eastAsia" w:ascii="仿宋" w:hAnsi="仿宋" w:eastAsia="仿宋" w:cs="仿宋"/>
          <w:color w:val="000000" w:themeColor="text1"/>
          <w:sz w:val="32"/>
          <w:szCs w:val="32"/>
          <w:shd w:val="clear" w:color="auto" w:fill="FFFFFF"/>
          <w14:textFill>
            <w14:solidFill>
              <w14:schemeClr w14:val="tx1"/>
            </w14:solidFill>
          </w14:textFill>
        </w:rPr>
        <w:t>第二十五条</w:t>
      </w:r>
      <w:r>
        <w:rPr>
          <w:rFonts w:ascii="Calibri" w:hAnsi="Calibri" w:eastAsia="仿宋" w:cs="Calibri"/>
          <w:color w:val="000000" w:themeColor="text1"/>
          <w:sz w:val="32"/>
          <w:szCs w:val="32"/>
          <w:shd w:val="clear" w:color="auto" w:fill="FFFFFF"/>
          <w14:textFill>
            <w14:solidFill>
              <w14:schemeClr w14:val="tx1"/>
            </w14:solidFill>
          </w14:textFill>
        </w:rPr>
        <w:t> </w:t>
      </w:r>
      <w:r>
        <w:rPr>
          <w:rFonts w:hint="eastAsia" w:ascii="仿宋" w:hAnsi="仿宋" w:eastAsia="仿宋" w:cs="仿宋"/>
          <w:color w:val="000000" w:themeColor="text1"/>
          <w:sz w:val="32"/>
          <w:szCs w:val="32"/>
          <w:shd w:val="clear" w:color="auto" w:fill="FFFFFF"/>
          <w14:textFill>
            <w14:solidFill>
              <w14:schemeClr w14:val="tx1"/>
            </w14:solidFill>
          </w14:textFill>
        </w:rPr>
        <w:t>省出资企业应建立合规管理体系评估机制，定期开展合规管理评估，对集团及各级子企业合规管理体系的有效性进行分析，对重大或反复出现的合规风险和违规问题，深入查找根源，完善相关制度，堵塞管理漏洞，强化过程管控，持续改进提升。必要时，可以聘请第三方中介机构参与评估。</w:t>
      </w:r>
    </w:p>
    <w:p>
      <w:pPr>
        <w:pStyle w:val="2"/>
        <w:widowControl/>
        <w:spacing w:before="10" w:after="10" w:line="360" w:lineRule="auto"/>
        <w:ind w:firstLine="560"/>
        <w:jc w:val="both"/>
        <w:rPr>
          <w:rFonts w:ascii="仿宋" w:hAnsi="仿宋" w:eastAsia="仿宋" w:cs="仿宋"/>
          <w:color w:val="000000" w:themeColor="text1"/>
          <w:sz w:val="32"/>
          <w:szCs w:val="32"/>
          <w:shd w:val="clear" w:color="auto" w:fill="FFFFFF"/>
          <w14:textFill>
            <w14:solidFill>
              <w14:schemeClr w14:val="tx1"/>
            </w14:solidFill>
          </w14:textFill>
        </w:rPr>
      </w:pPr>
      <w:r>
        <w:rPr>
          <w:rStyle w:val="5"/>
          <w:rFonts w:hint="eastAsia" w:ascii="仿宋" w:hAnsi="仿宋" w:eastAsia="仿宋" w:cs="仿宋"/>
          <w:color w:val="000000" w:themeColor="text1"/>
          <w:sz w:val="32"/>
          <w:szCs w:val="32"/>
          <w:shd w:val="clear" w:color="auto" w:fill="FFFFFF"/>
          <w14:textFill>
            <w14:solidFill>
              <w14:schemeClr w14:val="tx1"/>
            </w14:solidFill>
          </w14:textFill>
        </w:rPr>
        <w:t>第二十六条</w:t>
      </w:r>
      <w:r>
        <w:rPr>
          <w:rFonts w:ascii="仿宋" w:hAnsi="仿宋" w:eastAsia="仿宋" w:cs="仿宋"/>
          <w:color w:val="000000" w:themeColor="text1"/>
          <w:sz w:val="32"/>
          <w:szCs w:val="32"/>
          <w:shd w:val="clear" w:color="auto" w:fill="FFFFFF"/>
          <w14:textFill>
            <w14:solidFill>
              <w14:schemeClr w14:val="tx1"/>
            </w14:solidFill>
          </w14:textFill>
        </w:rPr>
        <w:t xml:space="preserve"> 省出资企业应建立合规举报和调查问责机制，畅通举报渠道，保障企业员工有权利和途径举报违法违规行为。禁止对合规举报的任何打击报复，一旦发现，依法依规严肃惩处</w:t>
      </w:r>
      <w:r>
        <w:rPr>
          <w:rFonts w:hint="eastAsia" w:ascii="仿宋" w:hAnsi="仿宋" w:eastAsia="仿宋" w:cs="仿宋"/>
          <w:color w:val="000000" w:themeColor="text1"/>
          <w:sz w:val="32"/>
          <w:szCs w:val="32"/>
          <w:shd w:val="clear" w:color="auto" w:fill="FFFFFF"/>
          <w14:textFill>
            <w14:solidFill>
              <w14:schemeClr w14:val="tx1"/>
            </w14:solidFill>
          </w14:textFill>
        </w:rPr>
        <w:t>。</w:t>
      </w:r>
    </w:p>
    <w:p>
      <w:pPr>
        <w:pStyle w:val="2"/>
        <w:widowControl/>
        <w:wordWrap w:val="0"/>
        <w:spacing w:before="10" w:after="10" w:line="360" w:lineRule="auto"/>
        <w:rPr>
          <w:rFonts w:ascii="仿宋" w:hAnsi="仿宋" w:eastAsia="仿宋" w:cs="仿宋"/>
          <w:color w:val="000000" w:themeColor="text1"/>
          <w:sz w:val="32"/>
          <w:szCs w:val="32"/>
          <w:shd w:val="clear" w:color="auto" w:fill="FFFFFF"/>
          <w14:textFill>
            <w14:solidFill>
              <w14:schemeClr w14:val="tx1"/>
            </w14:solidFill>
          </w14:textFill>
        </w:rPr>
      </w:pPr>
      <w:r>
        <w:rPr>
          <w:rFonts w:ascii="仿宋" w:hAnsi="仿宋" w:eastAsia="仿宋" w:cs="仿宋"/>
          <w:color w:val="000000" w:themeColor="text1"/>
          <w:sz w:val="32"/>
          <w:szCs w:val="32"/>
          <w:shd w:val="clear" w:color="auto" w:fill="FFFFFF"/>
          <w14:textFill>
            <w14:solidFill>
              <w14:schemeClr w14:val="tx1"/>
            </w14:solidFill>
          </w14:textFill>
        </w:rPr>
        <w:t xml:space="preserve">    企业应确立合规调查基本方式和程序，合规调查要与</w:t>
      </w:r>
      <w:r>
        <w:rPr>
          <w:rFonts w:hint="eastAsia" w:ascii="仿宋" w:hAnsi="仿宋" w:eastAsia="仿宋" w:cs="仿宋"/>
          <w:color w:val="000000" w:themeColor="text1"/>
          <w:sz w:val="32"/>
          <w:szCs w:val="32"/>
          <w:shd w:val="clear" w:color="auto" w:fill="FFFFFF"/>
          <w14:textFill>
            <w14:solidFill>
              <w14:schemeClr w14:val="tx1"/>
            </w14:solidFill>
          </w14:textFill>
        </w:rPr>
        <w:t>违规经营投资责任追究、</w:t>
      </w:r>
      <w:r>
        <w:rPr>
          <w:rFonts w:ascii="仿宋" w:hAnsi="仿宋" w:eastAsia="仿宋" w:cs="仿宋"/>
          <w:color w:val="000000" w:themeColor="text1"/>
          <w:sz w:val="32"/>
          <w:szCs w:val="32"/>
          <w:shd w:val="clear" w:color="auto" w:fill="FFFFFF"/>
          <w14:textFill>
            <w14:solidFill>
              <w14:schemeClr w14:val="tx1"/>
            </w14:solidFill>
          </w14:textFill>
        </w:rPr>
        <w:t>纪检监察部门举报调查相结合</w:t>
      </w:r>
      <w:r>
        <w:rPr>
          <w:rFonts w:hint="eastAsia" w:ascii="仿宋" w:hAnsi="仿宋" w:eastAsia="仿宋" w:cs="仿宋"/>
          <w:color w:val="000000" w:themeColor="text1"/>
          <w:sz w:val="32"/>
          <w:szCs w:val="32"/>
          <w:shd w:val="clear" w:color="auto" w:fill="FFFFFF"/>
          <w14:textFill>
            <w14:solidFill>
              <w14:schemeClr w14:val="tx1"/>
            </w14:solidFill>
          </w14:textFill>
        </w:rPr>
        <w:t>。涉及违规经营投资问题线索的，按</w:t>
      </w:r>
      <w:r>
        <w:rPr>
          <w:rFonts w:hint="eastAsia" w:ascii="Calibri" w:hAnsi="Calibri" w:eastAsia="仿宋" w:cs="Calibri"/>
          <w:color w:val="000000" w:themeColor="text1"/>
          <w:sz w:val="32"/>
          <w:szCs w:val="32"/>
          <w:shd w:val="clear" w:color="auto" w:fill="FFFFFF"/>
          <w14:textFill>
            <w14:solidFill>
              <w14:schemeClr w14:val="tx1"/>
            </w14:solidFill>
          </w14:textFill>
        </w:rPr>
        <w:t>《湖北省政府国资委出资企业违规经营投资责任追究实施办法（试行）》等规定移送查处。</w:t>
      </w:r>
    </w:p>
    <w:p>
      <w:pPr>
        <w:pStyle w:val="2"/>
        <w:widowControl/>
        <w:wordWrap w:val="0"/>
        <w:spacing w:before="10" w:after="10" w:line="360" w:lineRule="auto"/>
        <w:jc w:val="center"/>
        <w:rPr>
          <w:rFonts w:ascii="仿宋" w:hAnsi="仿宋" w:eastAsia="仿宋" w:cs="仿宋"/>
          <w:color w:val="000000" w:themeColor="text1"/>
          <w:sz w:val="32"/>
          <w:szCs w:val="32"/>
          <w:shd w:val="clear" w:color="auto" w:fill="FFFFFF"/>
          <w14:textFill>
            <w14:solidFill>
              <w14:schemeClr w14:val="tx1"/>
            </w14:solidFill>
          </w14:textFill>
        </w:rPr>
      </w:pPr>
    </w:p>
    <w:p>
      <w:pPr>
        <w:pStyle w:val="2"/>
        <w:widowControl/>
        <w:wordWrap w:val="0"/>
        <w:spacing w:before="10" w:after="10" w:line="360" w:lineRule="auto"/>
        <w:jc w:val="center"/>
        <w:rPr>
          <w:rFonts w:ascii="仿宋" w:hAnsi="仿宋" w:eastAsia="仿宋" w:cs="仿宋"/>
          <w:color w:val="000000" w:themeColor="text1"/>
          <w:sz w:val="32"/>
          <w:szCs w:val="32"/>
          <w14:textFill>
            <w14:solidFill>
              <w14:schemeClr w14:val="tx1"/>
            </w14:solidFill>
          </w14:textFill>
        </w:rPr>
      </w:pPr>
      <w:r>
        <w:rPr>
          <w:rStyle w:val="5"/>
          <w:rFonts w:hint="eastAsia" w:ascii="仿宋" w:hAnsi="仿宋" w:eastAsia="仿宋" w:cs="仿宋"/>
          <w:color w:val="000000" w:themeColor="text1"/>
          <w:sz w:val="32"/>
          <w:szCs w:val="32"/>
          <w:shd w:val="clear" w:color="auto" w:fill="FFFFFF"/>
          <w14:textFill>
            <w14:solidFill>
              <w14:schemeClr w14:val="tx1"/>
            </w14:solidFill>
          </w14:textFill>
        </w:rPr>
        <w:t>第五章</w:t>
      </w:r>
      <w:r>
        <w:rPr>
          <w:rStyle w:val="5"/>
          <w:rFonts w:ascii="仿宋" w:hAnsi="仿宋" w:eastAsia="仿宋" w:cs="仿宋"/>
          <w:color w:val="000000" w:themeColor="text1"/>
          <w:sz w:val="32"/>
          <w:szCs w:val="32"/>
          <w:shd w:val="clear" w:color="auto" w:fill="FFFFFF"/>
          <w14:textFill>
            <w14:solidFill>
              <w14:schemeClr w14:val="tx1"/>
            </w14:solidFill>
          </w14:textFill>
        </w:rPr>
        <w:t xml:space="preserve"> </w:t>
      </w:r>
      <w:r>
        <w:rPr>
          <w:rStyle w:val="5"/>
          <w:rFonts w:ascii="Calibri" w:hAnsi="Calibri" w:eastAsia="仿宋" w:cs="Calibri"/>
          <w:color w:val="000000" w:themeColor="text1"/>
          <w:sz w:val="32"/>
          <w:szCs w:val="32"/>
          <w:shd w:val="clear" w:color="auto" w:fill="FFFFFF"/>
          <w14:textFill>
            <w14:solidFill>
              <w14:schemeClr w14:val="tx1"/>
            </w14:solidFill>
          </w14:textFill>
        </w:rPr>
        <w:t>  </w:t>
      </w:r>
      <w:r>
        <w:rPr>
          <w:rStyle w:val="5"/>
          <w:rFonts w:hint="eastAsia" w:ascii="仿宋" w:hAnsi="仿宋" w:eastAsia="仿宋" w:cs="仿宋"/>
          <w:color w:val="000000" w:themeColor="text1"/>
          <w:sz w:val="32"/>
          <w:szCs w:val="32"/>
          <w:shd w:val="clear" w:color="auto" w:fill="FFFFFF"/>
          <w14:textFill>
            <w14:solidFill>
              <w14:schemeClr w14:val="tx1"/>
            </w14:solidFill>
          </w14:textFill>
        </w:rPr>
        <w:t>合规管理保障</w:t>
      </w:r>
    </w:p>
    <w:p>
      <w:pPr>
        <w:pStyle w:val="2"/>
        <w:widowControl/>
        <w:wordWrap w:val="0"/>
        <w:spacing w:before="10" w:after="10" w:line="360" w:lineRule="auto"/>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w:t>
      </w:r>
    </w:p>
    <w:p>
      <w:pPr>
        <w:pStyle w:val="2"/>
        <w:widowControl/>
        <w:spacing w:before="10" w:after="10" w:line="360" w:lineRule="auto"/>
        <w:ind w:firstLine="643" w:firstLineChars="200"/>
        <w:jc w:val="both"/>
        <w:rPr>
          <w:rFonts w:ascii="仿宋" w:hAnsi="仿宋" w:eastAsia="仿宋" w:cs="仿宋"/>
          <w:color w:val="000000" w:themeColor="text1"/>
          <w:sz w:val="32"/>
          <w:szCs w:val="32"/>
          <w:shd w:val="clear" w:color="auto" w:fill="FFFFFF"/>
          <w14:textFill>
            <w14:solidFill>
              <w14:schemeClr w14:val="tx1"/>
            </w14:solidFill>
          </w14:textFill>
        </w:rPr>
      </w:pPr>
      <w:r>
        <w:rPr>
          <w:rStyle w:val="5"/>
          <w:rFonts w:hint="eastAsia" w:ascii="仿宋" w:hAnsi="仿宋" w:eastAsia="仿宋" w:cs="仿宋"/>
          <w:color w:val="000000" w:themeColor="text1"/>
          <w:sz w:val="32"/>
          <w:szCs w:val="32"/>
          <w:shd w:val="clear" w:color="auto" w:fill="FFFFFF"/>
          <w14:textFill>
            <w14:solidFill>
              <w14:schemeClr w14:val="tx1"/>
            </w14:solidFill>
          </w14:textFill>
        </w:rPr>
        <w:t>第二十七条</w:t>
      </w:r>
      <w:r>
        <w:rPr>
          <w:rFonts w:ascii="Calibri" w:hAnsi="Calibri" w:eastAsia="仿宋" w:cs="Calibri"/>
          <w:color w:val="000000" w:themeColor="text1"/>
          <w:sz w:val="32"/>
          <w:szCs w:val="32"/>
          <w:shd w:val="clear" w:color="auto" w:fill="FFFFFF"/>
          <w14:textFill>
            <w14:solidFill>
              <w14:schemeClr w14:val="tx1"/>
            </w14:solidFill>
          </w14:textFill>
        </w:rPr>
        <w:t> </w:t>
      </w:r>
      <w:r>
        <w:rPr>
          <w:rFonts w:hint="eastAsia" w:ascii="仿宋" w:hAnsi="仿宋" w:eastAsia="仿宋" w:cs="仿宋"/>
          <w:color w:val="000000" w:themeColor="text1"/>
          <w:sz w:val="32"/>
          <w:szCs w:val="32"/>
          <w:shd w:val="clear" w:color="auto" w:fill="FFFFFF"/>
          <w14:textFill>
            <w14:solidFill>
              <w14:schemeClr w14:val="tx1"/>
            </w14:solidFill>
          </w14:textFill>
        </w:rPr>
        <w:t>省出资企业应把合规经营管理情况纳入对各部门和所属企业负责人的年度综合考核，对所属企业和员工合规职责履行情况进行评价，并将结果作为员工考核、干部任用、选优评先等工作的重要依据。</w:t>
      </w:r>
    </w:p>
    <w:p>
      <w:pPr>
        <w:pStyle w:val="2"/>
        <w:widowControl/>
        <w:wordWrap w:val="0"/>
        <w:spacing w:before="10" w:after="10" w:line="360" w:lineRule="auto"/>
        <w:ind w:firstLine="640" w:firstLineChars="200"/>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省国资委把合规管理工作作为重要内容，纳入省出资企业领导班子和领导干部法治建设考核评价和总法律顾问述职评议内容。</w:t>
      </w:r>
    </w:p>
    <w:p>
      <w:pPr>
        <w:pStyle w:val="2"/>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w:t>
      </w:r>
      <w:r>
        <w:rPr>
          <w:rStyle w:val="5"/>
          <w:rFonts w:hint="eastAsia" w:ascii="仿宋" w:hAnsi="仿宋" w:eastAsia="仿宋" w:cs="仿宋"/>
          <w:color w:val="000000" w:themeColor="text1"/>
          <w:sz w:val="32"/>
          <w:szCs w:val="32"/>
          <w:shd w:val="clear" w:color="auto" w:fill="FFFFFF"/>
          <w14:textFill>
            <w14:solidFill>
              <w14:schemeClr w14:val="tx1"/>
            </w14:solidFill>
          </w14:textFill>
        </w:rPr>
        <w:t>第二十八条</w:t>
      </w:r>
      <w:r>
        <w:rPr>
          <w:rFonts w:ascii="Calibri" w:hAnsi="Calibri" w:eastAsia="仿宋" w:cs="Calibri"/>
          <w:color w:val="000000" w:themeColor="text1"/>
          <w:sz w:val="32"/>
          <w:szCs w:val="32"/>
          <w:shd w:val="clear" w:color="auto" w:fill="FFFFFF"/>
          <w14:textFill>
            <w14:solidFill>
              <w14:schemeClr w14:val="tx1"/>
            </w14:solidFill>
          </w14:textFill>
        </w:rPr>
        <w:t> </w:t>
      </w:r>
      <w:r>
        <w:rPr>
          <w:rFonts w:hint="eastAsia" w:ascii="仿宋" w:hAnsi="仿宋" w:eastAsia="仿宋" w:cs="仿宋"/>
          <w:color w:val="000000" w:themeColor="text1"/>
          <w:sz w:val="32"/>
          <w:szCs w:val="32"/>
          <w:shd w:val="clear" w:color="auto" w:fill="FFFFFF"/>
          <w14:textFill>
            <w14:solidFill>
              <w14:schemeClr w14:val="tx1"/>
            </w14:solidFill>
          </w14:textFill>
        </w:rPr>
        <w:t>强化合规管理信息化建设，通过信息化手段优化管理流程，记录和保存相关信息。运用大数据等工具，加强对经营管理行为依法合规情况的实时在线监控和风险分析，实现信息集成与共享。</w:t>
      </w:r>
    </w:p>
    <w:p>
      <w:pPr>
        <w:pStyle w:val="2"/>
        <w:widowControl/>
        <w:spacing w:before="10" w:after="10" w:line="360" w:lineRule="auto"/>
        <w:ind w:firstLine="640"/>
        <w:jc w:val="both"/>
        <w:rPr>
          <w:rFonts w:ascii="Calibri" w:hAnsi="Calibri" w:eastAsia="仿宋" w:cs="Calibri"/>
          <w:color w:val="000000" w:themeColor="text1"/>
          <w:sz w:val="32"/>
          <w:szCs w:val="32"/>
          <w:shd w:val="clear" w:color="auto" w:fill="FFFFFF"/>
          <w14:textFill>
            <w14:solidFill>
              <w14:schemeClr w14:val="tx1"/>
            </w14:solidFill>
          </w14:textFill>
        </w:rPr>
      </w:pPr>
      <w:r>
        <w:rPr>
          <w:rStyle w:val="5"/>
          <w:rFonts w:hint="eastAsia" w:ascii="仿宋" w:hAnsi="仿宋" w:eastAsia="仿宋" w:cs="仿宋"/>
          <w:color w:val="000000" w:themeColor="text1"/>
          <w:sz w:val="32"/>
          <w:szCs w:val="32"/>
          <w:shd w:val="clear" w:color="auto" w:fill="FFFFFF"/>
          <w14:textFill>
            <w14:solidFill>
              <w14:schemeClr w14:val="tx1"/>
            </w14:solidFill>
          </w14:textFill>
        </w:rPr>
        <w:t>第二十九条</w:t>
      </w:r>
      <w:r>
        <w:rPr>
          <w:rFonts w:ascii="Calibri" w:hAnsi="Calibri" w:eastAsia="仿宋" w:cs="Calibri"/>
          <w:color w:val="000000" w:themeColor="text1"/>
          <w:sz w:val="32"/>
          <w:szCs w:val="32"/>
          <w:shd w:val="clear" w:color="auto" w:fill="FFFFFF"/>
          <w14:textFill>
            <w14:solidFill>
              <w14:schemeClr w14:val="tx1"/>
            </w14:solidFill>
          </w14:textFill>
        </w:rPr>
        <w:t> </w:t>
      </w:r>
      <w:r>
        <w:rPr>
          <w:rFonts w:hint="eastAsia" w:ascii="Calibri" w:hAnsi="Calibri" w:eastAsia="仿宋" w:cs="Calibri"/>
          <w:color w:val="000000" w:themeColor="text1"/>
          <w:sz w:val="32"/>
          <w:szCs w:val="32"/>
          <w:shd w:val="clear" w:color="auto" w:fill="FFFFFF"/>
          <w14:textFill>
            <w14:solidFill>
              <w14:schemeClr w14:val="tx1"/>
            </w14:solidFill>
          </w14:textFill>
        </w:rPr>
        <w:t>完善激励约束机制，对在合规管理体系建设中作出重要成绩、有效防范重大合规风险或对挽回重大损失作出突出贡献的集体和个人，应当予以表彰和奖励；对于落实合规管理工作不力，忽视重大合规风险或违规经营造成重大损失的，按照《湖北省政府国资委出资企业违规经营投资责任追究实施办法（试行）》等依法追究责任。</w:t>
      </w:r>
    </w:p>
    <w:p>
      <w:pPr>
        <w:pStyle w:val="2"/>
        <w:widowControl/>
        <w:wordWrap w:val="0"/>
        <w:spacing w:before="10" w:after="10" w:line="360" w:lineRule="auto"/>
        <w:jc w:val="both"/>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w:t>
      </w:r>
      <w:r>
        <w:rPr>
          <w:rStyle w:val="5"/>
          <w:rFonts w:hint="eastAsia" w:ascii="仿宋" w:hAnsi="仿宋" w:eastAsia="仿宋" w:cs="仿宋"/>
          <w:color w:val="000000" w:themeColor="text1"/>
          <w:sz w:val="32"/>
          <w:szCs w:val="32"/>
          <w:shd w:val="clear" w:color="auto" w:fill="FFFFFF"/>
          <w14:textFill>
            <w14:solidFill>
              <w14:schemeClr w14:val="tx1"/>
            </w14:solidFill>
          </w14:textFill>
        </w:rPr>
        <w:t>第三十条</w:t>
      </w:r>
      <w:r>
        <w:rPr>
          <w:rFonts w:ascii="Calibri" w:hAnsi="Calibri" w:eastAsia="仿宋" w:cs="Calibri"/>
          <w:color w:val="000000" w:themeColor="text1"/>
          <w:sz w:val="32"/>
          <w:szCs w:val="32"/>
          <w:shd w:val="clear" w:color="auto" w:fill="FFFFFF"/>
          <w14:textFill>
            <w14:solidFill>
              <w14:schemeClr w14:val="tx1"/>
            </w14:solidFill>
          </w14:textFill>
        </w:rPr>
        <w:t> </w:t>
      </w:r>
      <w:r>
        <w:rPr>
          <w:rFonts w:hint="eastAsia" w:ascii="仿宋" w:hAnsi="仿宋" w:eastAsia="仿宋" w:cs="仿宋"/>
          <w:color w:val="000000" w:themeColor="text1"/>
          <w:sz w:val="32"/>
          <w:szCs w:val="32"/>
          <w:shd w:val="clear" w:color="auto" w:fill="FFFFFF"/>
          <w14:textFill>
            <w14:solidFill>
              <w14:schemeClr w14:val="tx1"/>
            </w14:solidFill>
          </w14:textFill>
        </w:rPr>
        <w:t>建立专业化、高素质的合规管理队伍。各企业应当根据业务规模、合规风险水平等因素配备合规管理人员。</w:t>
      </w:r>
    </w:p>
    <w:p>
      <w:pPr>
        <w:pStyle w:val="2"/>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重视合规培训，建立制度化、常态化培训机制，加强全员合规知识和能力的教育培训，确保员工理解、遵守企业合规目标和要求。</w:t>
      </w:r>
    </w:p>
    <w:p>
      <w:pPr>
        <w:pStyle w:val="2"/>
        <w:widowControl/>
        <w:wordWrap w:val="0"/>
        <w:spacing w:before="10" w:after="10" w:line="360" w:lineRule="auto"/>
        <w:ind w:firstLine="560"/>
        <w:jc w:val="both"/>
        <w:rPr>
          <w:color w:val="000000" w:themeColor="text1"/>
          <w:sz w:val="32"/>
          <w:szCs w:val="32"/>
          <w14:textFill>
            <w14:solidFill>
              <w14:schemeClr w14:val="tx1"/>
            </w14:solidFill>
          </w14:textFill>
        </w:rPr>
      </w:pPr>
      <w:r>
        <w:rPr>
          <w:rStyle w:val="5"/>
          <w:rFonts w:hint="eastAsia" w:ascii="仿宋" w:hAnsi="仿宋" w:eastAsia="仿宋" w:cs="仿宋"/>
          <w:color w:val="000000" w:themeColor="text1"/>
          <w:sz w:val="32"/>
          <w:szCs w:val="32"/>
          <w:shd w:val="clear" w:color="auto" w:fill="FFFFFF"/>
          <w14:textFill>
            <w14:solidFill>
              <w14:schemeClr w14:val="tx1"/>
            </w14:solidFill>
          </w14:textFill>
        </w:rPr>
        <w:t>第三十一条</w:t>
      </w:r>
      <w:r>
        <w:rPr>
          <w:rFonts w:ascii="Calibri" w:hAnsi="Calibri" w:eastAsia="仿宋" w:cs="Calibri"/>
          <w:color w:val="000000" w:themeColor="text1"/>
          <w:sz w:val="32"/>
          <w:szCs w:val="32"/>
          <w:shd w:val="clear" w:color="auto" w:fill="FFFFFF"/>
          <w14:textFill>
            <w14:solidFill>
              <w14:schemeClr w14:val="tx1"/>
            </w14:solidFill>
          </w14:textFill>
        </w:rPr>
        <w:t> </w:t>
      </w:r>
      <w:r>
        <w:rPr>
          <w:rFonts w:hint="eastAsia" w:ascii="仿宋" w:hAnsi="仿宋" w:eastAsia="仿宋" w:cs="仿宋"/>
          <w:color w:val="000000" w:themeColor="text1"/>
          <w:sz w:val="32"/>
          <w:szCs w:val="32"/>
          <w:shd w:val="clear" w:color="auto" w:fill="FFFFFF"/>
          <w14:textFill>
            <w14:solidFill>
              <w14:schemeClr w14:val="tx1"/>
            </w14:solidFill>
          </w14:textFill>
        </w:rPr>
        <w:t>积极培育合规文化，通过制定发放合规手册、签订合规承诺书等方式，强化全员安全、质量、诚信和廉洁等意识，树立依法合规、守法诚信的价值观，筑牢合规经营的思想基础。</w:t>
      </w:r>
    </w:p>
    <w:p>
      <w:pPr>
        <w:pStyle w:val="2"/>
        <w:widowControl/>
        <w:wordWrap w:val="0"/>
        <w:spacing w:before="10" w:after="10" w:line="360" w:lineRule="auto"/>
        <w:ind w:firstLine="560"/>
        <w:jc w:val="both"/>
        <w:rPr>
          <w:rFonts w:ascii="仿宋" w:hAnsi="仿宋" w:eastAsia="仿宋" w:cs="仿宋"/>
          <w:color w:val="000000" w:themeColor="text1"/>
          <w:sz w:val="32"/>
          <w:szCs w:val="32"/>
          <w:shd w:val="clear" w:color="auto" w:fill="FFFFFF"/>
          <w14:textFill>
            <w14:solidFill>
              <w14:schemeClr w14:val="tx1"/>
            </w14:solidFill>
          </w14:textFill>
        </w:rPr>
      </w:pPr>
      <w:r>
        <w:rPr>
          <w:rStyle w:val="5"/>
          <w:rFonts w:ascii="仿宋" w:hAnsi="仿宋" w:eastAsia="仿宋" w:cs="仿宋"/>
          <w:color w:val="000000" w:themeColor="text1"/>
          <w:sz w:val="32"/>
          <w:szCs w:val="32"/>
          <w:shd w:val="clear" w:color="auto" w:fill="FFFFFF"/>
          <w14:textFill>
            <w14:solidFill>
              <w14:schemeClr w14:val="tx1"/>
            </w14:solidFill>
          </w14:textFill>
        </w:rPr>
        <w:t>第三十二</w:t>
      </w:r>
      <w:r>
        <w:rPr>
          <w:rFonts w:hint="eastAsia" w:ascii="仿宋" w:hAnsi="仿宋" w:eastAsia="仿宋" w:cs="仿宋"/>
          <w:b/>
          <w:color w:val="000000" w:themeColor="text1"/>
          <w:sz w:val="32"/>
          <w:szCs w:val="32"/>
          <w:shd w:val="clear" w:color="auto" w:fill="FFFFFF"/>
          <w14:textFill>
            <w14:solidFill>
              <w14:schemeClr w14:val="tx1"/>
            </w14:solidFill>
          </w14:textFill>
        </w:rPr>
        <w:t>条</w:t>
      </w:r>
      <w:r>
        <w:rPr>
          <w:rFonts w:ascii="仿宋" w:hAnsi="仿宋" w:eastAsia="仿宋" w:cs="仿宋"/>
          <w:color w:val="000000" w:themeColor="text1"/>
          <w:sz w:val="32"/>
          <w:szCs w:val="32"/>
          <w:shd w:val="clear" w:color="auto" w:fill="FFFFFF"/>
          <w14:textFill>
            <w14:solidFill>
              <w14:schemeClr w14:val="tx1"/>
            </w14:solidFill>
          </w14:textFill>
        </w:rPr>
        <w:t xml:space="preserve"> </w:t>
      </w:r>
      <w:r>
        <w:rPr>
          <w:rFonts w:hint="eastAsia" w:ascii="仿宋" w:hAnsi="仿宋" w:eastAsia="仿宋" w:cs="仿宋"/>
          <w:color w:val="000000" w:themeColor="text1"/>
          <w:sz w:val="32"/>
          <w:szCs w:val="32"/>
          <w:shd w:val="clear" w:color="auto" w:fill="FFFFFF"/>
          <w14:textFill>
            <w14:solidFill>
              <w14:schemeClr w14:val="tx1"/>
            </w14:solidFill>
          </w14:textFill>
        </w:rPr>
        <w:t>建立经费保障机制。企业应当根据业务规模，健全合规管理工作预算资金管理制度，充分保障合规管理各项工作经费。</w:t>
      </w:r>
    </w:p>
    <w:p>
      <w:pPr>
        <w:pStyle w:val="2"/>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w:t>
      </w:r>
      <w:r>
        <w:rPr>
          <w:rStyle w:val="5"/>
          <w:rFonts w:hint="eastAsia" w:ascii="仿宋" w:hAnsi="仿宋" w:eastAsia="仿宋" w:cs="仿宋"/>
          <w:color w:val="000000" w:themeColor="text1"/>
          <w:sz w:val="32"/>
          <w:szCs w:val="32"/>
          <w:shd w:val="clear" w:color="auto" w:fill="FFFFFF"/>
          <w14:textFill>
            <w14:solidFill>
              <w14:schemeClr w14:val="tx1"/>
            </w14:solidFill>
          </w14:textFill>
        </w:rPr>
        <w:t>第三十三条</w:t>
      </w:r>
      <w:r>
        <w:rPr>
          <w:rFonts w:ascii="Calibri" w:hAnsi="Calibri" w:eastAsia="仿宋" w:cs="Calibri"/>
          <w:color w:val="000000" w:themeColor="text1"/>
          <w:sz w:val="32"/>
          <w:szCs w:val="32"/>
          <w:shd w:val="clear" w:color="auto" w:fill="FFFFFF"/>
          <w14:textFill>
            <w14:solidFill>
              <w14:schemeClr w14:val="tx1"/>
            </w14:solidFill>
          </w14:textFill>
        </w:rPr>
        <w:t> </w:t>
      </w:r>
      <w:r>
        <w:rPr>
          <w:rFonts w:hint="eastAsia" w:ascii="仿宋" w:hAnsi="仿宋" w:eastAsia="仿宋" w:cs="仿宋"/>
          <w:color w:val="000000" w:themeColor="text1"/>
          <w:sz w:val="32"/>
          <w:szCs w:val="32"/>
          <w:shd w:val="clear" w:color="auto" w:fill="FFFFFF"/>
          <w14:textFill>
            <w14:solidFill>
              <w14:schemeClr w14:val="tx1"/>
            </w14:solidFill>
          </w14:textFill>
        </w:rPr>
        <w:t>建立合规报告制度。</w:t>
      </w:r>
      <w:r>
        <w:rPr>
          <w:rFonts w:ascii="仿宋" w:hAnsi="仿宋" w:eastAsia="仿宋" w:cs="仿宋"/>
          <w:color w:val="000000" w:themeColor="text1"/>
          <w:sz w:val="32"/>
          <w:szCs w:val="32"/>
          <w:shd w:val="clear" w:color="auto" w:fill="FFFFFF"/>
          <w14:textFill>
            <w14:solidFill>
              <w14:schemeClr w14:val="tx1"/>
            </w14:solidFill>
          </w14:textFill>
        </w:rPr>
        <w:t>合规管理</w:t>
      </w:r>
      <w:r>
        <w:rPr>
          <w:rFonts w:hint="eastAsia" w:ascii="仿宋" w:hAnsi="仿宋" w:eastAsia="仿宋" w:cs="仿宋"/>
          <w:color w:val="000000" w:themeColor="text1"/>
          <w:sz w:val="32"/>
          <w:szCs w:val="32"/>
          <w:shd w:val="clear" w:color="auto" w:fill="FFFFFF"/>
          <w14:textFill>
            <w14:solidFill>
              <w14:schemeClr w14:val="tx1"/>
            </w14:solidFill>
          </w14:textFill>
        </w:rPr>
        <w:t>综合</w:t>
      </w:r>
      <w:r>
        <w:rPr>
          <w:rFonts w:ascii="仿宋" w:hAnsi="仿宋" w:eastAsia="仿宋" w:cs="仿宋"/>
          <w:color w:val="000000" w:themeColor="text1"/>
          <w:sz w:val="32"/>
          <w:szCs w:val="32"/>
          <w:shd w:val="clear" w:color="auto" w:fill="FFFFFF"/>
          <w14:textFill>
            <w14:solidFill>
              <w14:schemeClr w14:val="tx1"/>
            </w14:solidFill>
          </w14:textFill>
        </w:rPr>
        <w:t>部门</w:t>
      </w:r>
      <w:r>
        <w:rPr>
          <w:rFonts w:hint="eastAsia" w:ascii="仿宋" w:hAnsi="仿宋" w:eastAsia="仿宋" w:cs="仿宋"/>
          <w:color w:val="000000" w:themeColor="text1"/>
          <w:sz w:val="32"/>
          <w:szCs w:val="32"/>
          <w:shd w:val="clear" w:color="auto" w:fill="FFFFFF"/>
          <w14:textFill>
            <w14:solidFill>
              <w14:schemeClr w14:val="tx1"/>
            </w14:solidFill>
          </w14:textFill>
        </w:rPr>
        <w:t>应于每年</w:t>
      </w:r>
      <w:r>
        <w:rPr>
          <w:rFonts w:ascii="仿宋" w:hAnsi="仿宋" w:eastAsia="仿宋" w:cs="仿宋"/>
          <w:color w:val="000000" w:themeColor="text1"/>
          <w:sz w:val="32"/>
          <w:szCs w:val="32"/>
          <w:shd w:val="clear" w:color="auto" w:fill="FFFFFF"/>
          <w14:textFill>
            <w14:solidFill>
              <w14:schemeClr w14:val="tx1"/>
            </w14:solidFill>
          </w14:textFill>
        </w:rPr>
        <w:t>3月前制定企业年度合规</w:t>
      </w:r>
      <w:r>
        <w:rPr>
          <w:rFonts w:hint="eastAsia" w:ascii="仿宋" w:hAnsi="仿宋" w:eastAsia="仿宋" w:cs="仿宋"/>
          <w:color w:val="000000" w:themeColor="text1"/>
          <w:sz w:val="32"/>
          <w:szCs w:val="32"/>
          <w:shd w:val="clear" w:color="auto" w:fill="FFFFFF"/>
          <w14:textFill>
            <w14:solidFill>
              <w14:schemeClr w14:val="tx1"/>
            </w14:solidFill>
          </w14:textFill>
        </w:rPr>
        <w:t>要点</w:t>
      </w:r>
      <w:r>
        <w:rPr>
          <w:rFonts w:ascii="仿宋" w:hAnsi="仿宋" w:eastAsia="仿宋" w:cs="仿宋"/>
          <w:color w:val="000000" w:themeColor="text1"/>
          <w:sz w:val="32"/>
          <w:szCs w:val="32"/>
          <w:shd w:val="clear" w:color="auto" w:fill="FFFFFF"/>
          <w14:textFill>
            <w14:solidFill>
              <w14:schemeClr w14:val="tx1"/>
            </w14:solidFill>
          </w14:textFill>
        </w:rPr>
        <w:t>，提交合规委员会批准后执行</w:t>
      </w:r>
      <w:r>
        <w:rPr>
          <w:rFonts w:hint="eastAsia" w:ascii="仿宋" w:hAnsi="仿宋" w:eastAsia="仿宋" w:cs="仿宋"/>
          <w:color w:val="000000" w:themeColor="text1"/>
          <w:sz w:val="32"/>
          <w:szCs w:val="32"/>
          <w:shd w:val="clear" w:color="auto" w:fill="FFFFFF"/>
          <w14:textFill>
            <w14:solidFill>
              <w14:schemeClr w14:val="tx1"/>
            </w14:solidFill>
          </w14:textFill>
        </w:rPr>
        <w:t>。发生较大合规风险事件，合规管理综合部门和相关部门应当及时向合规管理负责人、分管领导报告。重大合规风险事件应当向省国资委和有关部门报告。</w:t>
      </w:r>
    </w:p>
    <w:p>
      <w:pPr>
        <w:pStyle w:val="2"/>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合规管理综合部门于每年年底前全面总结合规管理工作情况，形成年度报告，经董事会审议后报送省国资委。</w:t>
      </w:r>
    </w:p>
    <w:p>
      <w:pPr>
        <w:pStyle w:val="2"/>
        <w:widowControl/>
        <w:wordWrap w:val="0"/>
        <w:spacing w:before="10" w:after="10" w:line="360" w:lineRule="auto"/>
        <w:jc w:val="center"/>
        <w:rPr>
          <w:rStyle w:val="5"/>
          <w:rFonts w:ascii="仿宋" w:hAnsi="仿宋" w:eastAsia="仿宋" w:cs="仿宋"/>
          <w:color w:val="000000" w:themeColor="text1"/>
          <w:sz w:val="32"/>
          <w:szCs w:val="32"/>
          <w:shd w:val="clear" w:color="auto" w:fill="FFFFFF"/>
          <w14:textFill>
            <w14:solidFill>
              <w14:schemeClr w14:val="tx1"/>
            </w14:solidFill>
          </w14:textFill>
        </w:rPr>
      </w:pPr>
    </w:p>
    <w:p>
      <w:pPr>
        <w:pStyle w:val="2"/>
        <w:widowControl/>
        <w:wordWrap w:val="0"/>
        <w:spacing w:before="10" w:after="10" w:line="360" w:lineRule="auto"/>
        <w:jc w:val="center"/>
        <w:rPr>
          <w:rFonts w:ascii="仿宋" w:hAnsi="仿宋" w:eastAsia="仿宋" w:cs="仿宋"/>
          <w:color w:val="000000" w:themeColor="text1"/>
          <w:sz w:val="32"/>
          <w:szCs w:val="32"/>
          <w14:textFill>
            <w14:solidFill>
              <w14:schemeClr w14:val="tx1"/>
            </w14:solidFill>
          </w14:textFill>
        </w:rPr>
      </w:pPr>
      <w:r>
        <w:rPr>
          <w:rStyle w:val="5"/>
          <w:rFonts w:hint="eastAsia" w:ascii="仿宋" w:hAnsi="仿宋" w:eastAsia="仿宋" w:cs="仿宋"/>
          <w:color w:val="000000" w:themeColor="text1"/>
          <w:sz w:val="32"/>
          <w:szCs w:val="32"/>
          <w:shd w:val="clear" w:color="auto" w:fill="FFFFFF"/>
          <w14:textFill>
            <w14:solidFill>
              <w14:schemeClr w14:val="tx1"/>
            </w14:solidFill>
          </w14:textFill>
        </w:rPr>
        <w:t>第六章</w:t>
      </w:r>
      <w:r>
        <w:rPr>
          <w:rStyle w:val="5"/>
          <w:rFonts w:ascii="仿宋" w:hAnsi="仿宋" w:eastAsia="仿宋" w:cs="仿宋"/>
          <w:color w:val="000000" w:themeColor="text1"/>
          <w:sz w:val="32"/>
          <w:szCs w:val="32"/>
          <w:shd w:val="clear" w:color="auto" w:fill="FFFFFF"/>
          <w14:textFill>
            <w14:solidFill>
              <w14:schemeClr w14:val="tx1"/>
            </w14:solidFill>
          </w14:textFill>
        </w:rPr>
        <w:t xml:space="preserve"> </w:t>
      </w:r>
      <w:r>
        <w:rPr>
          <w:rStyle w:val="5"/>
          <w:rFonts w:ascii="Calibri" w:hAnsi="Calibri" w:eastAsia="仿宋" w:cs="Calibri"/>
          <w:color w:val="000000" w:themeColor="text1"/>
          <w:sz w:val="32"/>
          <w:szCs w:val="32"/>
          <w:shd w:val="clear" w:color="auto" w:fill="FFFFFF"/>
          <w14:textFill>
            <w14:solidFill>
              <w14:schemeClr w14:val="tx1"/>
            </w14:solidFill>
          </w14:textFill>
        </w:rPr>
        <w:t>  </w:t>
      </w:r>
      <w:r>
        <w:rPr>
          <w:rStyle w:val="5"/>
          <w:rFonts w:hint="eastAsia" w:ascii="仿宋" w:hAnsi="仿宋" w:eastAsia="仿宋" w:cs="仿宋"/>
          <w:color w:val="000000" w:themeColor="text1"/>
          <w:sz w:val="32"/>
          <w:szCs w:val="32"/>
          <w:shd w:val="clear" w:color="auto" w:fill="FFFFFF"/>
          <w14:textFill>
            <w14:solidFill>
              <w14:schemeClr w14:val="tx1"/>
            </w14:solidFill>
          </w14:textFill>
        </w:rPr>
        <w:t>附</w:t>
      </w:r>
      <w:r>
        <w:rPr>
          <w:rStyle w:val="5"/>
          <w:rFonts w:ascii="仿宋" w:hAnsi="仿宋" w:eastAsia="仿宋" w:cs="仿宋"/>
          <w:color w:val="000000" w:themeColor="text1"/>
          <w:sz w:val="32"/>
          <w:szCs w:val="32"/>
          <w:shd w:val="clear" w:color="auto" w:fill="FFFFFF"/>
          <w14:textFill>
            <w14:solidFill>
              <w14:schemeClr w14:val="tx1"/>
            </w14:solidFill>
          </w14:textFill>
        </w:rPr>
        <w:t xml:space="preserve"> </w:t>
      </w:r>
      <w:r>
        <w:rPr>
          <w:rStyle w:val="5"/>
          <w:rFonts w:ascii="Calibri" w:hAnsi="Calibri" w:eastAsia="仿宋" w:cs="Calibri"/>
          <w:color w:val="000000" w:themeColor="text1"/>
          <w:sz w:val="32"/>
          <w:szCs w:val="32"/>
          <w:shd w:val="clear" w:color="auto" w:fill="FFFFFF"/>
          <w14:textFill>
            <w14:solidFill>
              <w14:schemeClr w14:val="tx1"/>
            </w14:solidFill>
          </w14:textFill>
        </w:rPr>
        <w:t> </w:t>
      </w:r>
      <w:r>
        <w:rPr>
          <w:rStyle w:val="5"/>
          <w:rFonts w:hint="eastAsia" w:ascii="仿宋" w:hAnsi="仿宋" w:eastAsia="仿宋" w:cs="仿宋"/>
          <w:color w:val="000000" w:themeColor="text1"/>
          <w:sz w:val="32"/>
          <w:szCs w:val="32"/>
          <w:shd w:val="clear" w:color="auto" w:fill="FFFFFF"/>
          <w14:textFill>
            <w14:solidFill>
              <w14:schemeClr w14:val="tx1"/>
            </w14:solidFill>
          </w14:textFill>
        </w:rPr>
        <w:t>则</w:t>
      </w:r>
    </w:p>
    <w:p>
      <w:pPr>
        <w:pStyle w:val="2"/>
        <w:widowControl/>
        <w:wordWrap w:val="0"/>
        <w:spacing w:before="10" w:after="10" w:line="360" w:lineRule="auto"/>
        <w:rPr>
          <w:rFonts w:ascii="仿宋" w:hAnsi="仿宋" w:eastAsia="仿宋" w:cs="仿宋"/>
          <w:color w:val="000000" w:themeColor="text1"/>
          <w:sz w:val="32"/>
          <w:szCs w:val="32"/>
          <w14:textFill>
            <w14:solidFill>
              <w14:schemeClr w14:val="tx1"/>
            </w14:solidFill>
          </w14:textFill>
        </w:rPr>
      </w:pPr>
    </w:p>
    <w:p>
      <w:pPr>
        <w:pStyle w:val="2"/>
        <w:widowControl/>
        <w:wordWrap w:val="0"/>
        <w:spacing w:before="10" w:after="10"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w:t>
      </w:r>
      <w:r>
        <w:rPr>
          <w:rStyle w:val="5"/>
          <w:rFonts w:hint="eastAsia" w:ascii="仿宋" w:hAnsi="仿宋" w:eastAsia="仿宋" w:cs="仿宋"/>
          <w:color w:val="000000" w:themeColor="text1"/>
          <w:sz w:val="32"/>
          <w:szCs w:val="32"/>
          <w:shd w:val="clear" w:color="auto" w:fill="FFFFFF"/>
          <w14:textFill>
            <w14:solidFill>
              <w14:schemeClr w14:val="tx1"/>
            </w14:solidFill>
          </w14:textFill>
        </w:rPr>
        <w:t>第三十四条</w:t>
      </w:r>
      <w:r>
        <w:rPr>
          <w:rFonts w:ascii="Calibri" w:hAnsi="Calibri" w:eastAsia="仿宋" w:cs="Calibri"/>
          <w:color w:val="000000" w:themeColor="text1"/>
          <w:sz w:val="32"/>
          <w:szCs w:val="32"/>
          <w:shd w:val="clear" w:color="auto" w:fill="FFFFFF"/>
          <w14:textFill>
            <w14:solidFill>
              <w14:schemeClr w14:val="tx1"/>
            </w14:solidFill>
          </w14:textFill>
        </w:rPr>
        <w:t> </w:t>
      </w:r>
      <w:r>
        <w:rPr>
          <w:rFonts w:hint="eastAsia" w:ascii="仿宋" w:hAnsi="仿宋" w:eastAsia="仿宋" w:cs="仿宋"/>
          <w:color w:val="000000" w:themeColor="text1"/>
          <w:sz w:val="32"/>
          <w:szCs w:val="32"/>
          <w:shd w:val="clear" w:color="auto" w:fill="FFFFFF"/>
          <w14:textFill>
            <w14:solidFill>
              <w14:schemeClr w14:val="tx1"/>
            </w14:solidFill>
          </w14:textFill>
        </w:rPr>
        <w:t>省出资企业根据本指引，结合实际制定合规管理制度，全面加强和指导所属企业的合规管理工作。</w:t>
      </w:r>
    </w:p>
    <w:p>
      <w:pPr>
        <w:pStyle w:val="2"/>
        <w:widowControl/>
        <w:wordWrap w:val="0"/>
        <w:spacing w:before="10" w:after="10"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w:t>
      </w:r>
      <w:r>
        <w:rPr>
          <w:rStyle w:val="5"/>
          <w:rFonts w:hint="eastAsia" w:ascii="仿宋" w:hAnsi="仿宋" w:eastAsia="仿宋" w:cs="仿宋"/>
          <w:color w:val="000000" w:themeColor="text1"/>
          <w:sz w:val="32"/>
          <w:szCs w:val="32"/>
          <w:shd w:val="clear" w:color="auto" w:fill="FFFFFF"/>
          <w14:textFill>
            <w14:solidFill>
              <w14:schemeClr w14:val="tx1"/>
            </w14:solidFill>
          </w14:textFill>
        </w:rPr>
        <w:t>第三十五条</w:t>
      </w:r>
      <w:r>
        <w:rPr>
          <w:rFonts w:ascii="Calibri" w:hAnsi="Calibri" w:eastAsia="仿宋" w:cs="Calibri"/>
          <w:color w:val="000000" w:themeColor="text1"/>
          <w:sz w:val="32"/>
          <w:szCs w:val="32"/>
          <w:shd w:val="clear" w:color="auto" w:fill="FFFFFF"/>
          <w14:textFill>
            <w14:solidFill>
              <w14:schemeClr w14:val="tx1"/>
            </w14:solidFill>
          </w14:textFill>
        </w:rPr>
        <w:t> </w:t>
      </w:r>
      <w:r>
        <w:rPr>
          <w:rFonts w:hint="eastAsia" w:ascii="仿宋" w:hAnsi="仿宋" w:eastAsia="仿宋" w:cs="仿宋"/>
          <w:color w:val="000000" w:themeColor="text1"/>
          <w:sz w:val="32"/>
          <w:szCs w:val="32"/>
          <w:shd w:val="clear" w:color="auto" w:fill="FFFFFF"/>
          <w14:textFill>
            <w14:solidFill>
              <w14:schemeClr w14:val="tx1"/>
            </w14:solidFill>
          </w14:textFill>
        </w:rPr>
        <w:t>本指引由省国资委负责解释。</w:t>
      </w:r>
    </w:p>
    <w:p>
      <w:pPr>
        <w:pStyle w:val="2"/>
        <w:widowControl/>
        <w:wordWrap w:val="0"/>
        <w:spacing w:before="10" w:after="10" w:line="360" w:lineRule="auto"/>
        <w:rPr>
          <w:color w:val="000000" w:themeColor="text1"/>
          <w:shd w:val="clear" w:color="auto" w:fill="FFFFFF" w:themeFill="background1"/>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w:t>
      </w:r>
      <w:r>
        <w:rPr>
          <w:rStyle w:val="5"/>
          <w:rFonts w:hint="eastAsia" w:ascii="仿宋" w:hAnsi="仿宋" w:eastAsia="仿宋" w:cs="仿宋"/>
          <w:color w:val="000000" w:themeColor="text1"/>
          <w:sz w:val="32"/>
          <w:szCs w:val="32"/>
          <w:shd w:val="clear" w:color="auto" w:fill="FFFFFF"/>
          <w14:textFill>
            <w14:solidFill>
              <w14:schemeClr w14:val="tx1"/>
            </w14:solidFill>
          </w14:textFill>
        </w:rPr>
        <w:t>第三十六条</w:t>
      </w:r>
      <w:r>
        <w:rPr>
          <w:rFonts w:ascii="Calibri" w:hAnsi="Calibri" w:eastAsia="仿宋" w:cs="Calibri"/>
          <w:color w:val="000000" w:themeColor="text1"/>
          <w:sz w:val="32"/>
          <w:szCs w:val="32"/>
          <w:shd w:val="clear" w:color="auto" w:fill="FFFFFF"/>
          <w14:textFill>
            <w14:solidFill>
              <w14:schemeClr w14:val="tx1"/>
            </w14:solidFill>
          </w14:textFill>
        </w:rPr>
        <w:t> </w:t>
      </w:r>
      <w:r>
        <w:rPr>
          <w:rFonts w:hint="eastAsia" w:ascii="仿宋" w:hAnsi="仿宋" w:eastAsia="仿宋" w:cs="仿宋"/>
          <w:color w:val="000000" w:themeColor="text1"/>
          <w:sz w:val="32"/>
          <w:szCs w:val="32"/>
          <w:shd w:val="clear" w:color="auto" w:fill="FFFFFF"/>
          <w14:textFill>
            <w14:solidFill>
              <w14:schemeClr w14:val="tx1"/>
            </w14:solidFill>
          </w14:textFill>
        </w:rPr>
        <w:t>本指引自公布之日起施行。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20B0604020202020204"/>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6B29EA"/>
    <w:rsid w:val="48456E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jc w:val="left"/>
    </w:pPr>
    <w:rPr>
      <w:rFonts w:asciiTheme="minorHAnsi" w:hAnsiTheme="minorHAnsi" w:eastAsiaTheme="minorEastAsia"/>
      <w:kern w:val="0"/>
      <w:sz w:val="24"/>
      <w:szCs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2021-02-19T02:46:00Z</dcterms:created>
  <dc:creator>Administrator</dc:creator>
  <cp:lastModifiedBy>Administrator</cp:lastModifiedBy>
  <dcterms:modified xsi:type="dcterms:W3CDTF">2021-02-19T02:52:06Z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